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8C893" w14:textId="77777777" w:rsidR="000B2F61" w:rsidRPr="00AB0246" w:rsidRDefault="000B2F61" w:rsidP="00AB024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15277467"/>
      <w:r w:rsidRPr="00AB0246">
        <w:rPr>
          <w:rFonts w:ascii="Times New Roman" w:eastAsia="Calibri" w:hAnsi="Times New Roman" w:cs="Times New Roman"/>
          <w:b/>
          <w:sz w:val="24"/>
          <w:szCs w:val="24"/>
        </w:rPr>
        <w:t>Sveučilište u Rijeci</w:t>
      </w:r>
    </w:p>
    <w:p w14:paraId="7133AC62" w14:textId="77777777" w:rsidR="000B2F61" w:rsidRDefault="000B2F61" w:rsidP="000B2F6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A5B94">
        <w:rPr>
          <w:rFonts w:ascii="Times New Roman" w:eastAsia="Calibri" w:hAnsi="Times New Roman" w:cs="Times New Roman"/>
          <w:b/>
          <w:sz w:val="24"/>
          <w:szCs w:val="24"/>
        </w:rPr>
        <w:t xml:space="preserve">Pomorski </w:t>
      </w:r>
      <w:r w:rsidR="00666AC9">
        <w:rPr>
          <w:rFonts w:ascii="Times New Roman" w:eastAsia="Calibri" w:hAnsi="Times New Roman" w:cs="Times New Roman"/>
          <w:b/>
          <w:sz w:val="24"/>
          <w:szCs w:val="24"/>
        </w:rPr>
        <w:t>f</w:t>
      </w:r>
      <w:r w:rsidRPr="001A5B94">
        <w:rPr>
          <w:rFonts w:ascii="Times New Roman" w:eastAsia="Calibri" w:hAnsi="Times New Roman" w:cs="Times New Roman"/>
          <w:b/>
          <w:sz w:val="24"/>
          <w:szCs w:val="24"/>
        </w:rPr>
        <w:t xml:space="preserve">akultet </w:t>
      </w:r>
    </w:p>
    <w:p w14:paraId="66691B8B" w14:textId="77777777" w:rsidR="00E03F40" w:rsidRDefault="00E03F40" w:rsidP="000B2F6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Studentska ulica 2</w:t>
      </w:r>
    </w:p>
    <w:p w14:paraId="69528BB8" w14:textId="77777777" w:rsidR="00E03F40" w:rsidRPr="001A5B94" w:rsidRDefault="00E03F40" w:rsidP="000B2F6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Rijeka</w:t>
      </w:r>
    </w:p>
    <w:p w14:paraId="1EC70516" w14:textId="77777777" w:rsidR="000B2F61" w:rsidRDefault="000B2F61" w:rsidP="000B2F6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A5B94">
        <w:rPr>
          <w:rFonts w:ascii="Times New Roman" w:eastAsia="Calibri" w:hAnsi="Times New Roman" w:cs="Times New Roman"/>
          <w:b/>
          <w:sz w:val="24"/>
          <w:szCs w:val="24"/>
        </w:rPr>
        <w:t>OIB 76722145702</w:t>
      </w:r>
    </w:p>
    <w:p w14:paraId="541ADE67" w14:textId="77777777" w:rsidR="00666AC9" w:rsidRPr="001A5B94" w:rsidRDefault="00666AC9" w:rsidP="000B2F6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RKP</w:t>
      </w:r>
      <w:r w:rsidR="00E03F4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22568</w:t>
      </w:r>
    </w:p>
    <w:bookmarkEnd w:id="0"/>
    <w:p w14:paraId="25D30537" w14:textId="77777777" w:rsidR="000B2F61" w:rsidRPr="001A5B94" w:rsidRDefault="000B2F61" w:rsidP="000B2F6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B7BC2C2" w14:textId="77777777" w:rsidR="00E03F40" w:rsidRDefault="00E03F40" w:rsidP="000B2F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45EB53A9" w14:textId="0FC12C70" w:rsidR="000B2F61" w:rsidRPr="001A5B94" w:rsidRDefault="000B2F61" w:rsidP="000B2F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1A5B94">
        <w:rPr>
          <w:rFonts w:ascii="Times New Roman" w:eastAsia="Calibri" w:hAnsi="Times New Roman" w:cs="Times New Roman"/>
          <w:b/>
          <w:sz w:val="32"/>
          <w:szCs w:val="32"/>
        </w:rPr>
        <w:t xml:space="preserve">Obrazloženje </w:t>
      </w:r>
      <w:r w:rsidR="00F138F6">
        <w:rPr>
          <w:rFonts w:ascii="Times New Roman" w:eastAsia="Calibri" w:hAnsi="Times New Roman" w:cs="Times New Roman"/>
          <w:b/>
          <w:sz w:val="32"/>
          <w:szCs w:val="32"/>
        </w:rPr>
        <w:t xml:space="preserve">izvršenja </w:t>
      </w:r>
      <w:r w:rsidR="00666AC9">
        <w:rPr>
          <w:rFonts w:ascii="Times New Roman" w:eastAsia="Calibri" w:hAnsi="Times New Roman" w:cs="Times New Roman"/>
          <w:b/>
          <w:sz w:val="32"/>
          <w:szCs w:val="32"/>
        </w:rPr>
        <w:t>Posebnog dijela</w:t>
      </w:r>
      <w:bookmarkStart w:id="1" w:name="_Hlk115277485"/>
      <w:r w:rsidR="0025736E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="00A96F68">
        <w:rPr>
          <w:rFonts w:ascii="Times New Roman" w:eastAsia="Calibri" w:hAnsi="Times New Roman" w:cs="Times New Roman"/>
          <w:b/>
          <w:sz w:val="32"/>
          <w:szCs w:val="32"/>
        </w:rPr>
        <w:t>f</w:t>
      </w:r>
      <w:r w:rsidRPr="001A5B94">
        <w:rPr>
          <w:rFonts w:ascii="Times New Roman" w:eastAsia="Calibri" w:hAnsi="Times New Roman" w:cs="Times New Roman"/>
          <w:b/>
          <w:sz w:val="32"/>
          <w:szCs w:val="32"/>
        </w:rPr>
        <w:t>inancijskog plana za 202</w:t>
      </w:r>
      <w:r w:rsidR="0065147C">
        <w:rPr>
          <w:rFonts w:ascii="Times New Roman" w:eastAsia="Calibri" w:hAnsi="Times New Roman" w:cs="Times New Roman"/>
          <w:b/>
          <w:sz w:val="32"/>
          <w:szCs w:val="32"/>
        </w:rPr>
        <w:t>5</w:t>
      </w:r>
      <w:r w:rsidRPr="001A5B94">
        <w:rPr>
          <w:rFonts w:ascii="Times New Roman" w:eastAsia="Calibri" w:hAnsi="Times New Roman" w:cs="Times New Roman"/>
          <w:b/>
          <w:sz w:val="32"/>
          <w:szCs w:val="32"/>
        </w:rPr>
        <w:t>. godin</w:t>
      </w:r>
      <w:r w:rsidR="0025736E">
        <w:rPr>
          <w:rFonts w:ascii="Times New Roman" w:eastAsia="Calibri" w:hAnsi="Times New Roman" w:cs="Times New Roman"/>
          <w:b/>
          <w:sz w:val="32"/>
          <w:szCs w:val="32"/>
        </w:rPr>
        <w:t>u</w:t>
      </w:r>
    </w:p>
    <w:bookmarkEnd w:id="1"/>
    <w:p w14:paraId="6FF5434C" w14:textId="77777777" w:rsidR="00EF05CF" w:rsidRPr="001A5B94" w:rsidRDefault="00EF05CF">
      <w:pPr>
        <w:rPr>
          <w:rFonts w:ascii="Times New Roman" w:hAnsi="Times New Roman" w:cs="Times New Roman"/>
          <w:sz w:val="24"/>
          <w:szCs w:val="24"/>
        </w:rPr>
      </w:pPr>
    </w:p>
    <w:p w14:paraId="2F23B0B3" w14:textId="77777777" w:rsidR="00F815A6" w:rsidRPr="001A5B94" w:rsidRDefault="003C3F23" w:rsidP="00F815A6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_Hlk53745816"/>
      <w:r w:rsidRPr="001A5B94">
        <w:rPr>
          <w:rFonts w:ascii="Times New Roman" w:hAnsi="Times New Roman" w:cs="Times New Roman"/>
          <w:b/>
          <w:sz w:val="28"/>
          <w:szCs w:val="28"/>
        </w:rPr>
        <w:t>A621002 Redovna djelatnost Sveučilišta u Rijeci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3"/>
        <w:gridCol w:w="1251"/>
        <w:gridCol w:w="1251"/>
        <w:gridCol w:w="1251"/>
        <w:gridCol w:w="1250"/>
        <w:gridCol w:w="1251"/>
        <w:gridCol w:w="1165"/>
      </w:tblGrid>
      <w:tr w:rsidR="00784427" w:rsidRPr="001A5B94" w14:paraId="0C0A6A53" w14:textId="77777777" w:rsidTr="00C45954">
        <w:tc>
          <w:tcPr>
            <w:tcW w:w="1643" w:type="dxa"/>
            <w:shd w:val="clear" w:color="auto" w:fill="D0CECE" w:themeFill="background2" w:themeFillShade="E6"/>
          </w:tcPr>
          <w:p w14:paraId="073E80B2" w14:textId="297E045B" w:rsidR="00F815A6" w:rsidRPr="001A5B94" w:rsidRDefault="008F1343" w:rsidP="00333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53745889"/>
            <w:bookmarkEnd w:id="2"/>
            <w:r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  <w:p w14:paraId="03DBF2F3" w14:textId="77777777" w:rsidR="00F815A6" w:rsidRPr="001A5B94" w:rsidRDefault="00F815A6" w:rsidP="003332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shd w:val="clear" w:color="auto" w:fill="D0CECE" w:themeFill="background2" w:themeFillShade="E6"/>
            <w:vAlign w:val="center"/>
          </w:tcPr>
          <w:p w14:paraId="2804164A" w14:textId="6DB478A5" w:rsidR="00F815A6" w:rsidRPr="001A5B94" w:rsidRDefault="00F815A6" w:rsidP="00333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 xml:space="preserve">Izvršenje </w:t>
            </w:r>
            <w:r w:rsidR="00C16900" w:rsidRPr="001A5B9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514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1" w:type="dxa"/>
            <w:shd w:val="clear" w:color="auto" w:fill="D0CECE" w:themeFill="background2" w:themeFillShade="E6"/>
            <w:vAlign w:val="center"/>
          </w:tcPr>
          <w:p w14:paraId="3FD7EFB2" w14:textId="79458041" w:rsidR="00F815A6" w:rsidRPr="001A5B94" w:rsidRDefault="00C16900" w:rsidP="00333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6514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1" w:type="dxa"/>
            <w:shd w:val="clear" w:color="auto" w:fill="D0CECE" w:themeFill="background2" w:themeFillShade="E6"/>
            <w:vAlign w:val="center"/>
          </w:tcPr>
          <w:p w14:paraId="5A135F32" w14:textId="5B405938" w:rsidR="00F815A6" w:rsidRPr="001A5B94" w:rsidRDefault="006D02E2" w:rsidP="00333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Rebalans</w:t>
            </w:r>
            <w:r w:rsidR="00F815A6" w:rsidRPr="001A5B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6900" w:rsidRPr="001A5B9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514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815A6" w:rsidRPr="001A5B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0" w:type="dxa"/>
            <w:shd w:val="clear" w:color="auto" w:fill="D0CECE" w:themeFill="background2" w:themeFillShade="E6"/>
            <w:vAlign w:val="center"/>
          </w:tcPr>
          <w:p w14:paraId="3437F1B5" w14:textId="4E86214E" w:rsidR="00F815A6" w:rsidRPr="001A5B94" w:rsidRDefault="00390036" w:rsidP="00333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Izvršenje 202</w:t>
            </w:r>
            <w:r w:rsidR="006514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1" w:type="dxa"/>
            <w:shd w:val="clear" w:color="auto" w:fill="D0CECE" w:themeFill="background2" w:themeFillShade="E6"/>
            <w:vAlign w:val="center"/>
          </w:tcPr>
          <w:p w14:paraId="61407FD9" w14:textId="77777777" w:rsidR="00F815A6" w:rsidRPr="001A5B94" w:rsidRDefault="00390036" w:rsidP="00333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Indeks </w:t>
            </w:r>
            <w:r w:rsidRPr="00390036">
              <w:rPr>
                <w:rFonts w:ascii="Times New Roman" w:hAnsi="Times New Roman" w:cs="Times New Roman"/>
                <w:sz w:val="20"/>
                <w:szCs w:val="20"/>
              </w:rPr>
              <w:t>5/2*100</w:t>
            </w:r>
          </w:p>
        </w:tc>
        <w:tc>
          <w:tcPr>
            <w:tcW w:w="1165" w:type="dxa"/>
            <w:shd w:val="clear" w:color="auto" w:fill="D0CECE" w:themeFill="background2" w:themeFillShade="E6"/>
            <w:vAlign w:val="center"/>
          </w:tcPr>
          <w:p w14:paraId="02759289" w14:textId="77777777" w:rsidR="00F815A6" w:rsidRDefault="00F815A6" w:rsidP="00333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>Indeks</w:t>
            </w:r>
          </w:p>
          <w:p w14:paraId="7383380E" w14:textId="77777777" w:rsidR="00390036" w:rsidRPr="00390036" w:rsidRDefault="00390036" w:rsidP="003332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036">
              <w:rPr>
                <w:rFonts w:ascii="Times New Roman" w:hAnsi="Times New Roman" w:cs="Times New Roman"/>
                <w:sz w:val="20"/>
                <w:szCs w:val="20"/>
              </w:rPr>
              <w:t>5/4*100</w:t>
            </w:r>
          </w:p>
        </w:tc>
      </w:tr>
      <w:tr w:rsidR="00390036" w:rsidRPr="001A5B94" w14:paraId="0136B063" w14:textId="77777777" w:rsidTr="00415937">
        <w:trPr>
          <w:trHeight w:val="58"/>
        </w:trPr>
        <w:tc>
          <w:tcPr>
            <w:tcW w:w="1643" w:type="dxa"/>
            <w:shd w:val="clear" w:color="auto" w:fill="D0CECE" w:themeFill="background2" w:themeFillShade="E6"/>
          </w:tcPr>
          <w:p w14:paraId="069DB8AA" w14:textId="77777777" w:rsidR="00390036" w:rsidRPr="00390036" w:rsidRDefault="00390036" w:rsidP="003900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03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1" w:type="dxa"/>
            <w:shd w:val="clear" w:color="auto" w:fill="D0CECE" w:themeFill="background2" w:themeFillShade="E6"/>
            <w:vAlign w:val="center"/>
          </w:tcPr>
          <w:p w14:paraId="6BC2024F" w14:textId="77777777" w:rsidR="00390036" w:rsidRPr="00390036" w:rsidRDefault="00390036" w:rsidP="003900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03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51" w:type="dxa"/>
            <w:shd w:val="clear" w:color="auto" w:fill="D0CECE" w:themeFill="background2" w:themeFillShade="E6"/>
            <w:vAlign w:val="center"/>
          </w:tcPr>
          <w:p w14:paraId="0CDF8584" w14:textId="77777777" w:rsidR="00390036" w:rsidRPr="00390036" w:rsidRDefault="00390036" w:rsidP="003900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03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51" w:type="dxa"/>
            <w:shd w:val="clear" w:color="auto" w:fill="D0CECE" w:themeFill="background2" w:themeFillShade="E6"/>
            <w:vAlign w:val="center"/>
          </w:tcPr>
          <w:p w14:paraId="7611D352" w14:textId="77777777" w:rsidR="00390036" w:rsidRPr="00390036" w:rsidRDefault="00390036" w:rsidP="003900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03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4E4DDBD" w14:textId="77777777" w:rsidR="00390036" w:rsidRPr="00390036" w:rsidRDefault="00390036" w:rsidP="003900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03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B1B5354" w14:textId="77777777" w:rsidR="00390036" w:rsidRPr="00390036" w:rsidRDefault="00390036" w:rsidP="003900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03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6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258BC25" w14:textId="77777777" w:rsidR="00390036" w:rsidRPr="00390036" w:rsidRDefault="00390036" w:rsidP="003900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03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65147C" w:rsidRPr="0065147C" w14:paraId="3AF5D393" w14:textId="77777777" w:rsidTr="00415937">
        <w:tc>
          <w:tcPr>
            <w:tcW w:w="1643" w:type="dxa"/>
          </w:tcPr>
          <w:p w14:paraId="2A196A62" w14:textId="77777777" w:rsidR="0065147C" w:rsidRPr="001A5B94" w:rsidRDefault="0065147C" w:rsidP="006514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>A621002</w:t>
            </w:r>
          </w:p>
        </w:tc>
        <w:tc>
          <w:tcPr>
            <w:tcW w:w="1251" w:type="dxa"/>
          </w:tcPr>
          <w:p w14:paraId="2C12EFB8" w14:textId="40ADEE8F" w:rsidR="0065147C" w:rsidRPr="001A5B94" w:rsidRDefault="00260654" w:rsidP="006514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6065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66998">
              <w:rPr>
                <w:rFonts w:ascii="Times New Roman" w:hAnsi="Times New Roman" w:cs="Times New Roman"/>
                <w:sz w:val="24"/>
                <w:szCs w:val="24"/>
              </w:rPr>
              <w:t>064.949</w:t>
            </w:r>
          </w:p>
        </w:tc>
        <w:tc>
          <w:tcPr>
            <w:tcW w:w="1251" w:type="dxa"/>
          </w:tcPr>
          <w:p w14:paraId="6D833B12" w14:textId="6543E550" w:rsidR="0065147C" w:rsidRPr="001A5B94" w:rsidRDefault="0065147C" w:rsidP="006514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147C">
              <w:rPr>
                <w:rFonts w:ascii="Times New Roman" w:hAnsi="Times New Roman" w:cs="Times New Roman"/>
                <w:sz w:val="24"/>
                <w:szCs w:val="24"/>
              </w:rPr>
              <w:t>4.134.371</w:t>
            </w:r>
          </w:p>
        </w:tc>
        <w:tc>
          <w:tcPr>
            <w:tcW w:w="1251" w:type="dxa"/>
          </w:tcPr>
          <w:p w14:paraId="5E7E2633" w14:textId="78C11C5B" w:rsidR="0065147C" w:rsidRPr="001A5B94" w:rsidRDefault="0065147C" w:rsidP="006514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147C">
              <w:rPr>
                <w:rFonts w:ascii="Times New Roman" w:hAnsi="Times New Roman" w:cs="Times New Roman"/>
                <w:sz w:val="24"/>
                <w:szCs w:val="24"/>
              </w:rPr>
              <w:t>4.493.659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</w:tcPr>
          <w:p w14:paraId="288C501D" w14:textId="201D656C" w:rsidR="0065147C" w:rsidRPr="00415937" w:rsidRDefault="0065147C" w:rsidP="006514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147C">
              <w:rPr>
                <w:rFonts w:ascii="Times New Roman" w:hAnsi="Times New Roman" w:cs="Times New Roman"/>
                <w:sz w:val="24"/>
                <w:szCs w:val="24"/>
              </w:rPr>
              <w:t>4.472.674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</w:tcPr>
          <w:p w14:paraId="29EA3D5B" w14:textId="1E52C748" w:rsidR="0065147C" w:rsidRPr="00415937" w:rsidRDefault="004264E0" w:rsidP="006514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110,03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</w:tcPr>
          <w:p w14:paraId="1A409737" w14:textId="5B8196F8" w:rsidR="0065147C" w:rsidRPr="00415937" w:rsidRDefault="004264E0" w:rsidP="006514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99,53</w:t>
            </w:r>
          </w:p>
        </w:tc>
      </w:tr>
      <w:bookmarkEnd w:id="3"/>
    </w:tbl>
    <w:p w14:paraId="03C289E5" w14:textId="77777777" w:rsidR="006D02E2" w:rsidRDefault="006D02E2" w:rsidP="0065147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930C159" w14:textId="69CAC2CB" w:rsidR="00415937" w:rsidRPr="006D02E2" w:rsidRDefault="00415937" w:rsidP="00415937">
      <w:pPr>
        <w:spacing w:before="24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Unutar ove aktivnosti izvršavaju se plaće i materijalna prava zaposlenih na teret državnog proračuna</w:t>
      </w:r>
      <w:r w:rsidR="007D53BD">
        <w:rPr>
          <w:rFonts w:ascii="Times New Roman" w:hAnsi="Times New Roman" w:cs="Times New Roman"/>
          <w:sz w:val="24"/>
          <w:szCs w:val="24"/>
        </w:rPr>
        <w:t xml:space="preserve">. Rashodi za zaposlene izvršeni su u iznosu </w:t>
      </w:r>
      <w:r w:rsidR="00F0008D" w:rsidRPr="00F0008D">
        <w:rPr>
          <w:rFonts w:ascii="Times New Roman" w:hAnsi="Times New Roman" w:cs="Times New Roman"/>
          <w:sz w:val="24"/>
          <w:szCs w:val="24"/>
        </w:rPr>
        <w:t>4.393.726</w:t>
      </w:r>
      <w:r w:rsidR="00F0008D">
        <w:rPr>
          <w:rFonts w:ascii="Times New Roman" w:hAnsi="Times New Roman" w:cs="Times New Roman"/>
          <w:sz w:val="24"/>
          <w:szCs w:val="24"/>
        </w:rPr>
        <w:t xml:space="preserve"> </w:t>
      </w:r>
      <w:r w:rsidR="0028769D">
        <w:rPr>
          <w:rFonts w:ascii="Times New Roman" w:hAnsi="Times New Roman" w:cs="Times New Roman"/>
          <w:sz w:val="24"/>
          <w:szCs w:val="24"/>
        </w:rPr>
        <w:t>EUR</w:t>
      </w:r>
      <w:r w:rsidR="0094410C">
        <w:rPr>
          <w:rFonts w:ascii="Times New Roman" w:hAnsi="Times New Roman" w:cs="Times New Roman"/>
          <w:sz w:val="24"/>
          <w:szCs w:val="24"/>
        </w:rPr>
        <w:t xml:space="preserve">, </w:t>
      </w:r>
      <w:r w:rsidR="007D53BD">
        <w:rPr>
          <w:rFonts w:ascii="Times New Roman" w:hAnsi="Times New Roman" w:cs="Times New Roman"/>
          <w:sz w:val="24"/>
          <w:szCs w:val="24"/>
        </w:rPr>
        <w:t xml:space="preserve">dok materijalna prava  zaposlenih (naknade za prijevoz) </w:t>
      </w:r>
      <w:r w:rsidR="0094410C">
        <w:rPr>
          <w:rFonts w:ascii="Times New Roman" w:hAnsi="Times New Roman" w:cs="Times New Roman"/>
          <w:sz w:val="24"/>
          <w:szCs w:val="24"/>
        </w:rPr>
        <w:t>iznose</w:t>
      </w:r>
      <w:r w:rsidR="007D53BD">
        <w:rPr>
          <w:rFonts w:ascii="Times New Roman" w:hAnsi="Times New Roman" w:cs="Times New Roman"/>
          <w:sz w:val="24"/>
          <w:szCs w:val="24"/>
        </w:rPr>
        <w:t xml:space="preserve"> </w:t>
      </w:r>
      <w:r w:rsidR="00F0008D">
        <w:rPr>
          <w:rFonts w:ascii="Times New Roman" w:hAnsi="Times New Roman" w:cs="Times New Roman"/>
          <w:sz w:val="24"/>
          <w:szCs w:val="24"/>
        </w:rPr>
        <w:t>66.601</w:t>
      </w:r>
      <w:r w:rsidR="007D53BD">
        <w:rPr>
          <w:rFonts w:ascii="Times New Roman" w:hAnsi="Times New Roman" w:cs="Times New Roman"/>
          <w:sz w:val="24"/>
          <w:szCs w:val="24"/>
        </w:rPr>
        <w:t xml:space="preserve"> </w:t>
      </w:r>
      <w:r w:rsidR="0028769D">
        <w:rPr>
          <w:rFonts w:ascii="Times New Roman" w:hAnsi="Times New Roman" w:cs="Times New Roman"/>
          <w:sz w:val="24"/>
          <w:szCs w:val="24"/>
        </w:rPr>
        <w:t>EUR</w:t>
      </w:r>
      <w:r w:rsidR="007D53BD">
        <w:rPr>
          <w:rFonts w:ascii="Times New Roman" w:hAnsi="Times New Roman" w:cs="Times New Roman"/>
          <w:sz w:val="24"/>
          <w:szCs w:val="24"/>
        </w:rPr>
        <w:t>. Na teret državnog proračuna na dan 31.12.202</w:t>
      </w:r>
      <w:r w:rsidR="00777540">
        <w:rPr>
          <w:rFonts w:ascii="Times New Roman" w:hAnsi="Times New Roman" w:cs="Times New Roman"/>
          <w:sz w:val="24"/>
          <w:szCs w:val="24"/>
        </w:rPr>
        <w:t>5</w:t>
      </w:r>
      <w:r w:rsidR="007D53BD">
        <w:rPr>
          <w:rFonts w:ascii="Times New Roman" w:hAnsi="Times New Roman" w:cs="Times New Roman"/>
          <w:sz w:val="24"/>
          <w:szCs w:val="24"/>
        </w:rPr>
        <w:t xml:space="preserve">. </w:t>
      </w:r>
      <w:r w:rsidR="007D53BD" w:rsidRPr="00AD3750">
        <w:rPr>
          <w:rFonts w:ascii="Times New Roman" w:hAnsi="Times New Roman" w:cs="Times New Roman"/>
          <w:sz w:val="24"/>
          <w:szCs w:val="24"/>
        </w:rPr>
        <w:t>ukupno je zaposleno</w:t>
      </w:r>
      <w:r w:rsidR="00AD3750">
        <w:rPr>
          <w:rFonts w:ascii="Times New Roman" w:hAnsi="Times New Roman" w:cs="Times New Roman"/>
          <w:sz w:val="24"/>
          <w:szCs w:val="24"/>
        </w:rPr>
        <w:t xml:space="preserve"> 10</w:t>
      </w:r>
      <w:r w:rsidR="00F0008D">
        <w:rPr>
          <w:rFonts w:ascii="Times New Roman" w:hAnsi="Times New Roman" w:cs="Times New Roman"/>
          <w:sz w:val="24"/>
          <w:szCs w:val="24"/>
        </w:rPr>
        <w:t>7</w:t>
      </w:r>
      <w:r w:rsidR="007D53BD" w:rsidRPr="00AD3750">
        <w:rPr>
          <w:rFonts w:ascii="Times New Roman" w:hAnsi="Times New Roman" w:cs="Times New Roman"/>
          <w:sz w:val="24"/>
          <w:szCs w:val="24"/>
        </w:rPr>
        <w:t xml:space="preserve"> djelatnika</w:t>
      </w:r>
      <w:r w:rsidR="007D53BD">
        <w:rPr>
          <w:rFonts w:ascii="Times New Roman" w:hAnsi="Times New Roman" w:cs="Times New Roman"/>
          <w:sz w:val="24"/>
          <w:szCs w:val="24"/>
        </w:rPr>
        <w:t>. Unutar ove aktivnosti podmiruju se troškovi za sistematske preglede zaposlenih, a u 202</w:t>
      </w:r>
      <w:r w:rsidR="00777540">
        <w:rPr>
          <w:rFonts w:ascii="Times New Roman" w:hAnsi="Times New Roman" w:cs="Times New Roman"/>
          <w:sz w:val="24"/>
          <w:szCs w:val="24"/>
        </w:rPr>
        <w:t>5</w:t>
      </w:r>
      <w:r w:rsidR="007D53BD">
        <w:rPr>
          <w:rFonts w:ascii="Times New Roman" w:hAnsi="Times New Roman" w:cs="Times New Roman"/>
          <w:sz w:val="24"/>
          <w:szCs w:val="24"/>
        </w:rPr>
        <w:t xml:space="preserve">. godini </w:t>
      </w:r>
      <w:r w:rsidR="00777540">
        <w:rPr>
          <w:rFonts w:ascii="Times New Roman" w:hAnsi="Times New Roman" w:cs="Times New Roman"/>
          <w:sz w:val="24"/>
          <w:szCs w:val="24"/>
        </w:rPr>
        <w:t>34</w:t>
      </w:r>
      <w:r w:rsidR="007D53BD">
        <w:rPr>
          <w:rFonts w:ascii="Times New Roman" w:hAnsi="Times New Roman" w:cs="Times New Roman"/>
          <w:sz w:val="24"/>
          <w:szCs w:val="24"/>
        </w:rPr>
        <w:t xml:space="preserve"> </w:t>
      </w:r>
      <w:r w:rsidR="008C73DF">
        <w:rPr>
          <w:rFonts w:ascii="Times New Roman" w:hAnsi="Times New Roman" w:cs="Times New Roman"/>
          <w:sz w:val="24"/>
          <w:szCs w:val="24"/>
        </w:rPr>
        <w:t>zaposlenika</w:t>
      </w:r>
      <w:r w:rsidR="007D53BD">
        <w:rPr>
          <w:rFonts w:ascii="Times New Roman" w:hAnsi="Times New Roman" w:cs="Times New Roman"/>
          <w:sz w:val="24"/>
          <w:szCs w:val="24"/>
        </w:rPr>
        <w:t xml:space="preserve"> obavi</w:t>
      </w:r>
      <w:r w:rsidR="008C73DF">
        <w:rPr>
          <w:rFonts w:ascii="Times New Roman" w:hAnsi="Times New Roman" w:cs="Times New Roman"/>
          <w:sz w:val="24"/>
          <w:szCs w:val="24"/>
        </w:rPr>
        <w:t>la</w:t>
      </w:r>
      <w:r w:rsidR="0094410C">
        <w:rPr>
          <w:rFonts w:ascii="Times New Roman" w:hAnsi="Times New Roman" w:cs="Times New Roman"/>
          <w:sz w:val="24"/>
          <w:szCs w:val="24"/>
        </w:rPr>
        <w:t xml:space="preserve"> </w:t>
      </w:r>
      <w:r w:rsidR="008C73DF">
        <w:rPr>
          <w:rFonts w:ascii="Times New Roman" w:hAnsi="Times New Roman" w:cs="Times New Roman"/>
          <w:sz w:val="24"/>
          <w:szCs w:val="24"/>
        </w:rPr>
        <w:t xml:space="preserve">su </w:t>
      </w:r>
      <w:r w:rsidR="007D53BD">
        <w:rPr>
          <w:rFonts w:ascii="Times New Roman" w:hAnsi="Times New Roman" w:cs="Times New Roman"/>
          <w:sz w:val="24"/>
          <w:szCs w:val="24"/>
        </w:rPr>
        <w:t>sistematski pregled. Naknada za kvotu za nezapošljavanje invalida u 202</w:t>
      </w:r>
      <w:r w:rsidR="00777540">
        <w:rPr>
          <w:rFonts w:ascii="Times New Roman" w:hAnsi="Times New Roman" w:cs="Times New Roman"/>
          <w:sz w:val="24"/>
          <w:szCs w:val="24"/>
        </w:rPr>
        <w:t>5</w:t>
      </w:r>
      <w:r w:rsidR="007D53BD">
        <w:rPr>
          <w:rFonts w:ascii="Times New Roman" w:hAnsi="Times New Roman" w:cs="Times New Roman"/>
          <w:sz w:val="24"/>
          <w:szCs w:val="24"/>
        </w:rPr>
        <w:t>. godini  plaćena</w:t>
      </w:r>
      <w:r w:rsidR="00E87E4B">
        <w:rPr>
          <w:rFonts w:ascii="Times New Roman" w:hAnsi="Times New Roman" w:cs="Times New Roman"/>
          <w:sz w:val="24"/>
          <w:szCs w:val="24"/>
        </w:rPr>
        <w:t xml:space="preserve"> je</w:t>
      </w:r>
      <w:r w:rsidR="007D53BD">
        <w:rPr>
          <w:rFonts w:ascii="Times New Roman" w:hAnsi="Times New Roman" w:cs="Times New Roman"/>
          <w:sz w:val="24"/>
          <w:szCs w:val="24"/>
        </w:rPr>
        <w:t xml:space="preserve"> u iznosu </w:t>
      </w:r>
      <w:r w:rsidR="00F0008D">
        <w:rPr>
          <w:rFonts w:ascii="Times New Roman" w:hAnsi="Times New Roman" w:cs="Times New Roman"/>
          <w:sz w:val="24"/>
          <w:szCs w:val="24"/>
        </w:rPr>
        <w:t xml:space="preserve">6.906 </w:t>
      </w:r>
      <w:r w:rsidR="007D53BD">
        <w:rPr>
          <w:rFonts w:ascii="Times New Roman" w:hAnsi="Times New Roman" w:cs="Times New Roman"/>
          <w:sz w:val="24"/>
          <w:szCs w:val="24"/>
        </w:rPr>
        <w:t>eura.</w:t>
      </w:r>
    </w:p>
    <w:p w14:paraId="3E766526" w14:textId="77777777" w:rsidR="006D02E2" w:rsidRPr="001A5B94" w:rsidRDefault="006D02E2" w:rsidP="002F70E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F133945" w14:textId="77777777" w:rsidR="002F70E1" w:rsidRPr="001A5B94" w:rsidRDefault="002F70E1" w:rsidP="002F70E1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5B94">
        <w:rPr>
          <w:rFonts w:ascii="Times New Roman" w:hAnsi="Times New Roman" w:cs="Times New Roman"/>
          <w:b/>
          <w:sz w:val="28"/>
          <w:szCs w:val="28"/>
        </w:rPr>
        <w:t>A622122 Programsko financiranje javnih visokih učilišta - Sveučilište u Rijeci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3"/>
        <w:gridCol w:w="1251"/>
        <w:gridCol w:w="1251"/>
        <w:gridCol w:w="1251"/>
        <w:gridCol w:w="1250"/>
        <w:gridCol w:w="1251"/>
        <w:gridCol w:w="1165"/>
      </w:tblGrid>
      <w:tr w:rsidR="005A0ABE" w:rsidRPr="001A5B94" w14:paraId="1D4F8E21" w14:textId="77777777" w:rsidTr="00D02775">
        <w:tc>
          <w:tcPr>
            <w:tcW w:w="1643" w:type="dxa"/>
            <w:shd w:val="clear" w:color="auto" w:fill="D0CECE" w:themeFill="background2" w:themeFillShade="E6"/>
          </w:tcPr>
          <w:p w14:paraId="7F88FD6E" w14:textId="2878D7B5" w:rsidR="005A0ABE" w:rsidRPr="001A5B94" w:rsidRDefault="008F1343" w:rsidP="005A0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158280995"/>
            <w:r w:rsidRPr="008F1343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  <w:p w14:paraId="456F5E58" w14:textId="77777777" w:rsidR="005A0ABE" w:rsidRPr="001A5B94" w:rsidRDefault="005A0ABE" w:rsidP="005A0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shd w:val="clear" w:color="auto" w:fill="D0CECE" w:themeFill="background2" w:themeFillShade="E6"/>
            <w:vAlign w:val="center"/>
          </w:tcPr>
          <w:p w14:paraId="5C8339B2" w14:textId="1C894B39" w:rsidR="005A0ABE" w:rsidRPr="001A5B94" w:rsidRDefault="005A0ABE" w:rsidP="005A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>Izvršenje 202</w:t>
            </w:r>
            <w:r w:rsidR="006514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1" w:type="dxa"/>
            <w:shd w:val="clear" w:color="auto" w:fill="D0CECE" w:themeFill="background2" w:themeFillShade="E6"/>
            <w:vAlign w:val="center"/>
          </w:tcPr>
          <w:p w14:paraId="314958CD" w14:textId="5318DB03" w:rsidR="005A0ABE" w:rsidRPr="001A5B94" w:rsidRDefault="005A0ABE" w:rsidP="005A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6514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1" w:type="dxa"/>
            <w:shd w:val="clear" w:color="auto" w:fill="D0CECE" w:themeFill="background2" w:themeFillShade="E6"/>
            <w:vAlign w:val="center"/>
          </w:tcPr>
          <w:p w14:paraId="65E082F7" w14:textId="65EA6659" w:rsidR="005A0ABE" w:rsidRPr="001A5B94" w:rsidRDefault="005A0ABE" w:rsidP="005A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Rebalans</w:t>
            </w: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6514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0" w:type="dxa"/>
            <w:shd w:val="clear" w:color="auto" w:fill="D0CECE" w:themeFill="background2" w:themeFillShade="E6"/>
            <w:vAlign w:val="center"/>
          </w:tcPr>
          <w:p w14:paraId="710D3D68" w14:textId="0325EEA0" w:rsidR="005A0ABE" w:rsidRPr="001A5B94" w:rsidRDefault="005A0ABE" w:rsidP="005A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Izvršenje 202</w:t>
            </w:r>
            <w:r w:rsidR="006514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1" w:type="dxa"/>
            <w:shd w:val="clear" w:color="auto" w:fill="D0CECE" w:themeFill="background2" w:themeFillShade="E6"/>
            <w:vAlign w:val="center"/>
          </w:tcPr>
          <w:p w14:paraId="23F9AC67" w14:textId="77777777" w:rsidR="005A0ABE" w:rsidRPr="001A5B94" w:rsidRDefault="005A0ABE" w:rsidP="005A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Indeks </w:t>
            </w:r>
            <w:r w:rsidRPr="00390036">
              <w:rPr>
                <w:rFonts w:ascii="Times New Roman" w:hAnsi="Times New Roman" w:cs="Times New Roman"/>
                <w:sz w:val="20"/>
                <w:szCs w:val="20"/>
              </w:rPr>
              <w:t>5/2*100</w:t>
            </w:r>
          </w:p>
        </w:tc>
        <w:tc>
          <w:tcPr>
            <w:tcW w:w="1165" w:type="dxa"/>
            <w:shd w:val="clear" w:color="auto" w:fill="D0CECE" w:themeFill="background2" w:themeFillShade="E6"/>
            <w:vAlign w:val="center"/>
          </w:tcPr>
          <w:p w14:paraId="3C57BB5E" w14:textId="77777777" w:rsidR="005A0ABE" w:rsidRDefault="005A0ABE" w:rsidP="005A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>Indeks</w:t>
            </w:r>
          </w:p>
          <w:p w14:paraId="0CBBD7B9" w14:textId="77777777" w:rsidR="005A0ABE" w:rsidRPr="00390036" w:rsidRDefault="005A0ABE" w:rsidP="005A0A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036">
              <w:rPr>
                <w:rFonts w:ascii="Times New Roman" w:hAnsi="Times New Roman" w:cs="Times New Roman"/>
                <w:sz w:val="20"/>
                <w:szCs w:val="20"/>
              </w:rPr>
              <w:t>5/4*100</w:t>
            </w:r>
          </w:p>
        </w:tc>
      </w:tr>
      <w:tr w:rsidR="00390036" w:rsidRPr="001A5B94" w14:paraId="0396F440" w14:textId="77777777" w:rsidTr="00415937">
        <w:trPr>
          <w:trHeight w:val="58"/>
        </w:trPr>
        <w:tc>
          <w:tcPr>
            <w:tcW w:w="1643" w:type="dxa"/>
            <w:shd w:val="clear" w:color="auto" w:fill="D0CECE" w:themeFill="background2" w:themeFillShade="E6"/>
          </w:tcPr>
          <w:p w14:paraId="100C4B21" w14:textId="77777777" w:rsidR="00390036" w:rsidRPr="00390036" w:rsidRDefault="00390036" w:rsidP="00D02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03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1" w:type="dxa"/>
            <w:shd w:val="clear" w:color="auto" w:fill="D0CECE" w:themeFill="background2" w:themeFillShade="E6"/>
            <w:vAlign w:val="center"/>
          </w:tcPr>
          <w:p w14:paraId="42AADAE0" w14:textId="77777777" w:rsidR="00390036" w:rsidRPr="00390036" w:rsidRDefault="00390036" w:rsidP="00D02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03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51" w:type="dxa"/>
            <w:shd w:val="clear" w:color="auto" w:fill="D0CECE" w:themeFill="background2" w:themeFillShade="E6"/>
            <w:vAlign w:val="center"/>
          </w:tcPr>
          <w:p w14:paraId="2F9B8B75" w14:textId="77777777" w:rsidR="00390036" w:rsidRPr="00390036" w:rsidRDefault="00390036" w:rsidP="00D02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03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51" w:type="dxa"/>
            <w:shd w:val="clear" w:color="auto" w:fill="D0CECE" w:themeFill="background2" w:themeFillShade="E6"/>
            <w:vAlign w:val="center"/>
          </w:tcPr>
          <w:p w14:paraId="7D41D74D" w14:textId="77777777" w:rsidR="00390036" w:rsidRPr="00390036" w:rsidRDefault="00390036" w:rsidP="00D02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03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1ED8FF8" w14:textId="77777777" w:rsidR="00390036" w:rsidRPr="00390036" w:rsidRDefault="00390036" w:rsidP="00D02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03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1B9059E" w14:textId="77777777" w:rsidR="00390036" w:rsidRPr="00390036" w:rsidRDefault="00390036" w:rsidP="00D02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03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6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2196725" w14:textId="77777777" w:rsidR="00390036" w:rsidRPr="00390036" w:rsidRDefault="00390036" w:rsidP="00D02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03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65147C" w:rsidRPr="001A5B94" w14:paraId="4223B0F1" w14:textId="77777777" w:rsidTr="00160114">
        <w:tc>
          <w:tcPr>
            <w:tcW w:w="1643" w:type="dxa"/>
          </w:tcPr>
          <w:p w14:paraId="5124EDC0" w14:textId="77777777" w:rsidR="0065147C" w:rsidRPr="001A5B94" w:rsidRDefault="0065147C" w:rsidP="00651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>A62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2122</w:t>
            </w:r>
          </w:p>
        </w:tc>
        <w:tc>
          <w:tcPr>
            <w:tcW w:w="1251" w:type="dxa"/>
          </w:tcPr>
          <w:p w14:paraId="10C1C8ED" w14:textId="623137E5" w:rsidR="0065147C" w:rsidRPr="001A5B94" w:rsidRDefault="00686F2E" w:rsidP="00651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339.657</w:t>
            </w:r>
          </w:p>
        </w:tc>
        <w:tc>
          <w:tcPr>
            <w:tcW w:w="1251" w:type="dxa"/>
          </w:tcPr>
          <w:p w14:paraId="7545EE55" w14:textId="081DC23C" w:rsidR="0065147C" w:rsidRPr="001A5B94" w:rsidRDefault="0065147C" w:rsidP="00651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47C">
              <w:rPr>
                <w:rFonts w:ascii="Times New Roman" w:hAnsi="Times New Roman" w:cs="Times New Roman"/>
                <w:sz w:val="24"/>
                <w:szCs w:val="24"/>
              </w:rPr>
              <w:t>330.076</w:t>
            </w:r>
          </w:p>
        </w:tc>
        <w:tc>
          <w:tcPr>
            <w:tcW w:w="1251" w:type="dxa"/>
          </w:tcPr>
          <w:p w14:paraId="16D5229A" w14:textId="78B13D06" w:rsidR="0065147C" w:rsidRPr="001A5B94" w:rsidRDefault="0065147C" w:rsidP="00651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47C">
              <w:rPr>
                <w:rFonts w:ascii="Times New Roman" w:hAnsi="Times New Roman" w:cs="Times New Roman"/>
                <w:sz w:val="24"/>
                <w:szCs w:val="24"/>
              </w:rPr>
              <w:t>449.022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099D1AD5" w14:textId="357DF75F" w:rsidR="0065147C" w:rsidRPr="00415937" w:rsidRDefault="0065147C" w:rsidP="006514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147C">
              <w:rPr>
                <w:rFonts w:ascii="Times New Roman" w:hAnsi="Times New Roman" w:cs="Times New Roman"/>
                <w:sz w:val="24"/>
                <w:szCs w:val="24"/>
              </w:rPr>
              <w:t>350.241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</w:tcPr>
          <w:p w14:paraId="6B1B0949" w14:textId="242362B4" w:rsidR="0065147C" w:rsidRPr="00415937" w:rsidRDefault="00686F2E" w:rsidP="006514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103,11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</w:tcPr>
          <w:p w14:paraId="0740204C" w14:textId="07DA3A7C" w:rsidR="0065147C" w:rsidRPr="00415937" w:rsidRDefault="004264E0" w:rsidP="006514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78,00</w:t>
            </w:r>
          </w:p>
        </w:tc>
      </w:tr>
      <w:bookmarkEnd w:id="4"/>
    </w:tbl>
    <w:p w14:paraId="1E6ED842" w14:textId="77777777" w:rsidR="00F0008D" w:rsidRDefault="00F0008D" w:rsidP="006A146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47E344" w14:textId="0CABEC4E" w:rsidR="006A146D" w:rsidRPr="006D02E2" w:rsidRDefault="00F0008D" w:rsidP="006A146D">
      <w:pPr>
        <w:spacing w:after="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Manje </w:t>
      </w:r>
      <w:r w:rsidR="006A146D">
        <w:rPr>
          <w:rFonts w:ascii="Times New Roman" w:hAnsi="Times New Roman" w:cs="Times New Roman"/>
          <w:sz w:val="24"/>
          <w:szCs w:val="24"/>
        </w:rPr>
        <w:t>izvršeni rashodi u odnosu na planirani rebalans financijskog plana za 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6A146D">
        <w:rPr>
          <w:rFonts w:ascii="Times New Roman" w:hAnsi="Times New Roman" w:cs="Times New Roman"/>
          <w:sz w:val="24"/>
          <w:szCs w:val="24"/>
        </w:rPr>
        <w:t>. rezultat su toga što je Fakultet u obvezi kod planiranja pridržavati se</w:t>
      </w:r>
      <w:r w:rsidR="00766998">
        <w:rPr>
          <w:rFonts w:ascii="Times New Roman" w:hAnsi="Times New Roman" w:cs="Times New Roman"/>
          <w:sz w:val="24"/>
          <w:szCs w:val="24"/>
        </w:rPr>
        <w:t xml:space="preserve"> planskog</w:t>
      </w:r>
      <w:r w:rsidR="006A146D">
        <w:rPr>
          <w:rFonts w:ascii="Times New Roman" w:hAnsi="Times New Roman" w:cs="Times New Roman"/>
          <w:sz w:val="24"/>
          <w:szCs w:val="24"/>
        </w:rPr>
        <w:t xml:space="preserve"> limita rashoda određen</w:t>
      </w:r>
      <w:r>
        <w:rPr>
          <w:rFonts w:ascii="Times New Roman" w:hAnsi="Times New Roman" w:cs="Times New Roman"/>
          <w:sz w:val="24"/>
          <w:szCs w:val="24"/>
        </w:rPr>
        <w:t xml:space="preserve">og od </w:t>
      </w:r>
      <w:r w:rsidR="006A146D">
        <w:rPr>
          <w:rFonts w:ascii="Times New Roman" w:hAnsi="Times New Roman" w:cs="Times New Roman"/>
          <w:sz w:val="24"/>
          <w:szCs w:val="24"/>
        </w:rPr>
        <w:t xml:space="preserve">strane Sveučilišta u Rijeci, </w:t>
      </w:r>
      <w:r w:rsidR="004264E0">
        <w:rPr>
          <w:rFonts w:ascii="Times New Roman" w:hAnsi="Times New Roman" w:cs="Times New Roman"/>
          <w:sz w:val="24"/>
          <w:szCs w:val="24"/>
        </w:rPr>
        <w:t>dok se</w:t>
      </w:r>
      <w:r w:rsidR="006A146D">
        <w:rPr>
          <w:rFonts w:ascii="Times New Roman" w:hAnsi="Times New Roman" w:cs="Times New Roman"/>
          <w:sz w:val="24"/>
          <w:szCs w:val="24"/>
        </w:rPr>
        <w:t xml:space="preserve"> rashodi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146D">
        <w:rPr>
          <w:rFonts w:ascii="Times New Roman" w:hAnsi="Times New Roman" w:cs="Times New Roman"/>
          <w:sz w:val="24"/>
          <w:szCs w:val="24"/>
        </w:rPr>
        <w:t>u ovoj aktivnosti mogu izvršavati u visini doznačenih sredstava</w:t>
      </w:r>
      <w:r w:rsidR="003E5C41">
        <w:rPr>
          <w:rFonts w:ascii="Times New Roman" w:hAnsi="Times New Roman" w:cs="Times New Roman"/>
          <w:sz w:val="24"/>
          <w:szCs w:val="24"/>
        </w:rPr>
        <w:t>.</w:t>
      </w:r>
    </w:p>
    <w:p w14:paraId="576C9401" w14:textId="77777777" w:rsidR="004264E0" w:rsidRDefault="004264E0" w:rsidP="00F0008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53750027"/>
      <w:bookmarkStart w:id="6" w:name="_Hlk53749823"/>
      <w:r w:rsidRPr="004264E0">
        <w:rPr>
          <w:rFonts w:ascii="Times New Roman" w:hAnsi="Times New Roman" w:cs="Times New Roman"/>
          <w:sz w:val="24"/>
          <w:szCs w:val="24"/>
        </w:rPr>
        <w:t xml:space="preserve">Troškovi koje podmirujemo s ove aktivnosti odnose se na troškove kao što su troškovi energije, komunalnih usluga, usluga čišćenja, pošte, prijevoza, uredskog materijala, službenih putovanja, osiguranja osoba i stvari, troškovi tekućega održavanja, zakupa prostora, nabava opreme za učionice i znanstveno-istraživački rad, financiranje vanjske suradnje i nastavak UNIRI znanstvenih potpora za financiranje specifičnih troškova znanstveno-istraživačkog rada. </w:t>
      </w:r>
    </w:p>
    <w:p w14:paraId="236B6A84" w14:textId="5233C373" w:rsidR="00F0008D" w:rsidRDefault="00F0008D" w:rsidP="00F0008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F0008D">
        <w:rPr>
          <w:rFonts w:ascii="Times New Roman" w:hAnsi="Times New Roman" w:cs="Times New Roman"/>
          <w:sz w:val="24"/>
          <w:szCs w:val="24"/>
        </w:rPr>
        <w:t xml:space="preserve">Dio sredstava u ovoj aktivnosti </w:t>
      </w:r>
      <w:r>
        <w:rPr>
          <w:rFonts w:ascii="Times New Roman" w:hAnsi="Times New Roman" w:cs="Times New Roman"/>
          <w:sz w:val="24"/>
          <w:szCs w:val="24"/>
        </w:rPr>
        <w:t xml:space="preserve">za </w:t>
      </w:r>
      <w:r w:rsidRPr="00F0008D">
        <w:rPr>
          <w:rFonts w:ascii="Times New Roman" w:hAnsi="Times New Roman" w:cs="Times New Roman"/>
          <w:sz w:val="24"/>
          <w:szCs w:val="24"/>
        </w:rPr>
        <w:t>akademsk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F0008D">
        <w:rPr>
          <w:rFonts w:ascii="Times New Roman" w:hAnsi="Times New Roman" w:cs="Times New Roman"/>
          <w:sz w:val="24"/>
          <w:szCs w:val="24"/>
        </w:rPr>
        <w:t xml:space="preserve"> godin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F0008D">
        <w:rPr>
          <w:rFonts w:ascii="Times New Roman" w:hAnsi="Times New Roman" w:cs="Times New Roman"/>
          <w:sz w:val="24"/>
          <w:szCs w:val="24"/>
        </w:rPr>
        <w:t xml:space="preserve"> 2025./2026. godin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F0008D">
        <w:rPr>
          <w:rFonts w:ascii="Times New Roman" w:hAnsi="Times New Roman" w:cs="Times New Roman"/>
          <w:sz w:val="24"/>
          <w:szCs w:val="24"/>
        </w:rPr>
        <w:t xml:space="preserve"> raspoređen je sukladno sklopljenom novom programskom ugovoru i odnosi se na razvojnu komponentu koja </w:t>
      </w:r>
      <w:r w:rsidRPr="00F0008D">
        <w:rPr>
          <w:rFonts w:ascii="Times New Roman" w:hAnsi="Times New Roman" w:cs="Times New Roman"/>
          <w:sz w:val="24"/>
          <w:szCs w:val="24"/>
        </w:rPr>
        <w:lastRenderedPageBreak/>
        <w:t xml:space="preserve">služi za ostvarivanje razvojnih aktivnosti definiranih u strukturi aktivnosti, pokazatelja i ciljeva </w:t>
      </w:r>
      <w:r w:rsidR="004264E0">
        <w:rPr>
          <w:rFonts w:ascii="Times New Roman" w:hAnsi="Times New Roman" w:cs="Times New Roman"/>
          <w:sz w:val="24"/>
          <w:szCs w:val="24"/>
        </w:rPr>
        <w:t>i na</w:t>
      </w:r>
      <w:r w:rsidRPr="00F0008D">
        <w:rPr>
          <w:rFonts w:ascii="Times New Roman" w:hAnsi="Times New Roman" w:cs="Times New Roman"/>
          <w:sz w:val="24"/>
          <w:szCs w:val="24"/>
        </w:rPr>
        <w:t xml:space="preserve"> izvedben</w:t>
      </w:r>
      <w:r w:rsidR="004264E0">
        <w:rPr>
          <w:rFonts w:ascii="Times New Roman" w:hAnsi="Times New Roman" w:cs="Times New Roman"/>
          <w:sz w:val="24"/>
          <w:szCs w:val="24"/>
        </w:rPr>
        <w:t>u</w:t>
      </w:r>
      <w:r w:rsidRPr="00F0008D">
        <w:rPr>
          <w:rFonts w:ascii="Times New Roman" w:hAnsi="Times New Roman" w:cs="Times New Roman"/>
          <w:sz w:val="24"/>
          <w:szCs w:val="24"/>
        </w:rPr>
        <w:t xml:space="preserve"> komponenta koja nije vezana za NPOO projekte</w:t>
      </w:r>
      <w:r w:rsidR="004264E0">
        <w:rPr>
          <w:rFonts w:ascii="Times New Roman" w:hAnsi="Times New Roman" w:cs="Times New Roman"/>
          <w:sz w:val="24"/>
          <w:szCs w:val="24"/>
        </w:rPr>
        <w:t>, a</w:t>
      </w:r>
      <w:r w:rsidRPr="00F0008D">
        <w:rPr>
          <w:rFonts w:ascii="Times New Roman" w:hAnsi="Times New Roman" w:cs="Times New Roman"/>
          <w:sz w:val="24"/>
          <w:szCs w:val="24"/>
        </w:rPr>
        <w:t xml:space="preserve"> obuhvaća financiranje izvedbenih aktivnosti.</w:t>
      </w:r>
      <w:r w:rsidRPr="00F0008D">
        <w:rPr>
          <w:rFonts w:ascii="Times New Roman" w:hAnsi="Times New Roman" w:cs="Times New Roman"/>
        </w:rPr>
        <w:t xml:space="preserve"> </w:t>
      </w:r>
    </w:p>
    <w:p w14:paraId="5C64887C" w14:textId="72619291" w:rsidR="00F0008D" w:rsidRPr="00F0008D" w:rsidRDefault="00F0008D" w:rsidP="00F0008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08D">
        <w:rPr>
          <w:rFonts w:ascii="Times New Roman" w:hAnsi="Times New Roman" w:cs="Times New Roman"/>
          <w:sz w:val="24"/>
          <w:szCs w:val="24"/>
        </w:rPr>
        <w:t xml:space="preserve">Drugi dio izvedbene komponente sastoji se od rashoda predviđenih za financiranje 14 (četrnaest) NPOO projekata </w:t>
      </w:r>
      <w:r w:rsidR="00780074">
        <w:rPr>
          <w:rFonts w:ascii="Times New Roman" w:hAnsi="Times New Roman" w:cs="Times New Roman"/>
          <w:sz w:val="24"/>
          <w:szCs w:val="24"/>
        </w:rPr>
        <w:t xml:space="preserve">Fakulteta odobrenih na natječaju Sveučilišta u Rijeci, </w:t>
      </w:r>
      <w:r w:rsidRPr="00F0008D">
        <w:rPr>
          <w:rFonts w:ascii="Times New Roman" w:hAnsi="Times New Roman" w:cs="Times New Roman"/>
          <w:sz w:val="24"/>
          <w:szCs w:val="24"/>
        </w:rPr>
        <w:t xml:space="preserve">za koje je planirano 37.759 </w:t>
      </w:r>
      <w:r w:rsidR="00766998">
        <w:rPr>
          <w:rFonts w:ascii="Times New Roman" w:hAnsi="Times New Roman" w:cs="Times New Roman"/>
          <w:sz w:val="24"/>
          <w:szCs w:val="24"/>
        </w:rPr>
        <w:t>EUR</w:t>
      </w:r>
      <w:r w:rsidRPr="00F0008D">
        <w:rPr>
          <w:rFonts w:ascii="Times New Roman" w:hAnsi="Times New Roman" w:cs="Times New Roman"/>
          <w:sz w:val="24"/>
          <w:szCs w:val="24"/>
        </w:rPr>
        <w:t xml:space="preserve">, dok je ostatak raspoređen </w:t>
      </w:r>
      <w:r w:rsidR="004264E0">
        <w:rPr>
          <w:rFonts w:ascii="Times New Roman" w:hAnsi="Times New Roman" w:cs="Times New Roman"/>
          <w:sz w:val="24"/>
          <w:szCs w:val="24"/>
        </w:rPr>
        <w:t>na preostale četiri godine</w:t>
      </w:r>
      <w:r w:rsidRPr="00F0008D">
        <w:rPr>
          <w:rFonts w:ascii="Times New Roman" w:hAnsi="Times New Roman" w:cs="Times New Roman"/>
          <w:sz w:val="24"/>
          <w:szCs w:val="24"/>
        </w:rPr>
        <w:t xml:space="preserve"> implementacije.</w:t>
      </w:r>
      <w:r w:rsidR="004264E0">
        <w:rPr>
          <w:rFonts w:ascii="Times New Roman" w:hAnsi="Times New Roman" w:cs="Times New Roman"/>
          <w:sz w:val="24"/>
          <w:szCs w:val="24"/>
        </w:rPr>
        <w:t xml:space="preserve"> </w:t>
      </w:r>
      <w:bookmarkStart w:id="7" w:name="_Hlk223684464"/>
      <w:r w:rsidR="004264E0">
        <w:rPr>
          <w:rFonts w:ascii="Times New Roman" w:hAnsi="Times New Roman" w:cs="Times New Roman"/>
          <w:sz w:val="24"/>
          <w:szCs w:val="24"/>
        </w:rPr>
        <w:t xml:space="preserve">Ovi rashodi izvršavaju se na izvoru financiranja 581 – </w:t>
      </w:r>
      <w:r w:rsidR="00780074">
        <w:rPr>
          <w:rFonts w:ascii="Times New Roman" w:hAnsi="Times New Roman" w:cs="Times New Roman"/>
          <w:sz w:val="24"/>
          <w:szCs w:val="24"/>
        </w:rPr>
        <w:t>M</w:t>
      </w:r>
      <w:r w:rsidR="004264E0">
        <w:rPr>
          <w:rFonts w:ascii="Times New Roman" w:hAnsi="Times New Roman" w:cs="Times New Roman"/>
          <w:sz w:val="24"/>
          <w:szCs w:val="24"/>
        </w:rPr>
        <w:t>ehanizam za oporavak i otpornost i izvršeni su u visini 20.890 EUR.</w:t>
      </w:r>
    </w:p>
    <w:bookmarkEnd w:id="5"/>
    <w:bookmarkEnd w:id="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5"/>
        <w:gridCol w:w="1096"/>
        <w:gridCol w:w="1242"/>
        <w:gridCol w:w="1248"/>
        <w:gridCol w:w="1247"/>
        <w:gridCol w:w="1244"/>
        <w:gridCol w:w="1160"/>
      </w:tblGrid>
      <w:tr w:rsidR="0065147C" w:rsidRPr="001A5B94" w14:paraId="72CFC784" w14:textId="77777777" w:rsidTr="00AC6F45">
        <w:tc>
          <w:tcPr>
            <w:tcW w:w="1838" w:type="dxa"/>
            <w:shd w:val="clear" w:color="auto" w:fill="D0CECE" w:themeFill="background2" w:themeFillShade="E6"/>
          </w:tcPr>
          <w:p w14:paraId="2E808E5A" w14:textId="77777777" w:rsidR="0065147C" w:rsidRPr="001A5B94" w:rsidRDefault="0065147C" w:rsidP="00F523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1E113" w14:textId="450DC6F2" w:rsidR="0065147C" w:rsidRPr="001A5B94" w:rsidRDefault="008F1343" w:rsidP="00F523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343"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</w:tc>
        <w:tc>
          <w:tcPr>
            <w:tcW w:w="1056" w:type="dxa"/>
            <w:shd w:val="clear" w:color="auto" w:fill="D0CECE" w:themeFill="background2" w:themeFillShade="E6"/>
            <w:vAlign w:val="center"/>
          </w:tcPr>
          <w:p w14:paraId="3884493B" w14:textId="77777777" w:rsidR="0065147C" w:rsidRPr="001A5B94" w:rsidRDefault="0065147C" w:rsidP="00F52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>Izvršenje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1" w:type="dxa"/>
            <w:shd w:val="clear" w:color="auto" w:fill="D0CECE" w:themeFill="background2" w:themeFillShade="E6"/>
            <w:vAlign w:val="center"/>
          </w:tcPr>
          <w:p w14:paraId="45FA202B" w14:textId="77777777" w:rsidR="0065147C" w:rsidRPr="001A5B94" w:rsidRDefault="0065147C" w:rsidP="00F52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1" w:type="dxa"/>
            <w:shd w:val="clear" w:color="auto" w:fill="D0CECE" w:themeFill="background2" w:themeFillShade="E6"/>
            <w:vAlign w:val="center"/>
          </w:tcPr>
          <w:p w14:paraId="27B0F341" w14:textId="77777777" w:rsidR="0065147C" w:rsidRPr="001A5B94" w:rsidRDefault="0065147C" w:rsidP="00F52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Rebalans</w:t>
            </w: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0" w:type="dxa"/>
            <w:shd w:val="clear" w:color="auto" w:fill="D0CECE" w:themeFill="background2" w:themeFillShade="E6"/>
            <w:vAlign w:val="center"/>
          </w:tcPr>
          <w:p w14:paraId="4A70D217" w14:textId="77777777" w:rsidR="0065147C" w:rsidRPr="001A5B94" w:rsidRDefault="0065147C" w:rsidP="00F52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Izvršenje 2025.</w:t>
            </w:r>
          </w:p>
        </w:tc>
        <w:tc>
          <w:tcPr>
            <w:tcW w:w="1251" w:type="dxa"/>
            <w:shd w:val="clear" w:color="auto" w:fill="D0CECE" w:themeFill="background2" w:themeFillShade="E6"/>
            <w:vAlign w:val="center"/>
          </w:tcPr>
          <w:p w14:paraId="65388F26" w14:textId="77777777" w:rsidR="0065147C" w:rsidRPr="001A5B94" w:rsidRDefault="0065147C" w:rsidP="00F52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Indeks </w:t>
            </w:r>
            <w:r w:rsidRPr="00390036">
              <w:rPr>
                <w:rFonts w:ascii="Times New Roman" w:hAnsi="Times New Roman" w:cs="Times New Roman"/>
                <w:sz w:val="20"/>
                <w:szCs w:val="20"/>
              </w:rPr>
              <w:t>5/2*100</w:t>
            </w:r>
          </w:p>
        </w:tc>
        <w:tc>
          <w:tcPr>
            <w:tcW w:w="1165" w:type="dxa"/>
            <w:shd w:val="clear" w:color="auto" w:fill="D0CECE" w:themeFill="background2" w:themeFillShade="E6"/>
            <w:vAlign w:val="center"/>
          </w:tcPr>
          <w:p w14:paraId="45D899FE" w14:textId="77777777" w:rsidR="0065147C" w:rsidRDefault="0065147C" w:rsidP="00F52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>Indeks</w:t>
            </w:r>
          </w:p>
          <w:p w14:paraId="21988269" w14:textId="77777777" w:rsidR="0065147C" w:rsidRPr="00390036" w:rsidRDefault="0065147C" w:rsidP="00F523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036">
              <w:rPr>
                <w:rFonts w:ascii="Times New Roman" w:hAnsi="Times New Roman" w:cs="Times New Roman"/>
                <w:sz w:val="20"/>
                <w:szCs w:val="20"/>
              </w:rPr>
              <w:t>5/4*100</w:t>
            </w:r>
          </w:p>
        </w:tc>
      </w:tr>
      <w:tr w:rsidR="0065147C" w:rsidRPr="001A5B94" w14:paraId="06E882EA" w14:textId="77777777" w:rsidTr="00AC6F45">
        <w:trPr>
          <w:trHeight w:val="58"/>
        </w:trPr>
        <w:tc>
          <w:tcPr>
            <w:tcW w:w="1838" w:type="dxa"/>
            <w:shd w:val="clear" w:color="auto" w:fill="D0CECE" w:themeFill="background2" w:themeFillShade="E6"/>
          </w:tcPr>
          <w:p w14:paraId="2825F6D6" w14:textId="77777777" w:rsidR="0065147C" w:rsidRPr="00390036" w:rsidRDefault="0065147C" w:rsidP="00F523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03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56" w:type="dxa"/>
            <w:shd w:val="clear" w:color="auto" w:fill="D0CECE" w:themeFill="background2" w:themeFillShade="E6"/>
            <w:vAlign w:val="center"/>
          </w:tcPr>
          <w:p w14:paraId="537B282A" w14:textId="77777777" w:rsidR="0065147C" w:rsidRPr="00390036" w:rsidRDefault="0065147C" w:rsidP="00F523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03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51" w:type="dxa"/>
            <w:shd w:val="clear" w:color="auto" w:fill="D0CECE" w:themeFill="background2" w:themeFillShade="E6"/>
            <w:vAlign w:val="center"/>
          </w:tcPr>
          <w:p w14:paraId="36C0A47B" w14:textId="77777777" w:rsidR="0065147C" w:rsidRPr="00390036" w:rsidRDefault="0065147C" w:rsidP="00F523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03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51" w:type="dxa"/>
            <w:shd w:val="clear" w:color="auto" w:fill="D0CECE" w:themeFill="background2" w:themeFillShade="E6"/>
            <w:vAlign w:val="center"/>
          </w:tcPr>
          <w:p w14:paraId="1772D8A1" w14:textId="77777777" w:rsidR="0065147C" w:rsidRPr="00390036" w:rsidRDefault="0065147C" w:rsidP="00F523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03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BED5914" w14:textId="77777777" w:rsidR="0065147C" w:rsidRPr="00390036" w:rsidRDefault="0065147C" w:rsidP="00F523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03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B7F1DC5" w14:textId="77777777" w:rsidR="0065147C" w:rsidRPr="00390036" w:rsidRDefault="0065147C" w:rsidP="00F523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03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6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6A5EFAC" w14:textId="77777777" w:rsidR="0065147C" w:rsidRPr="00390036" w:rsidRDefault="0065147C" w:rsidP="00F523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03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65147C" w:rsidRPr="001A5B94" w14:paraId="57DF0992" w14:textId="77777777" w:rsidTr="00AC6F45">
        <w:tc>
          <w:tcPr>
            <w:tcW w:w="1838" w:type="dxa"/>
          </w:tcPr>
          <w:p w14:paraId="20F2EDED" w14:textId="4E5ADFF2" w:rsidR="0065147C" w:rsidRPr="001A5B94" w:rsidRDefault="00AC6F45" w:rsidP="00651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A622122 </w:t>
            </w:r>
            <w:r w:rsidR="004264E0">
              <w:rPr>
                <w:rFonts w:ascii="Times New Roman" w:hAnsi="Times New Roman" w:cs="Times New Roman"/>
                <w:sz w:val="24"/>
                <w:szCs w:val="24"/>
              </w:rPr>
              <w:t>NPOO</w:t>
            </w:r>
          </w:p>
        </w:tc>
        <w:tc>
          <w:tcPr>
            <w:tcW w:w="1056" w:type="dxa"/>
          </w:tcPr>
          <w:p w14:paraId="229E694D" w14:textId="4699B489" w:rsidR="0065147C" w:rsidRPr="001A5B94" w:rsidRDefault="00F0008D" w:rsidP="00651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1" w:type="dxa"/>
          </w:tcPr>
          <w:p w14:paraId="323A7E66" w14:textId="11AFD859" w:rsidR="0065147C" w:rsidRPr="001A5B94" w:rsidRDefault="00F0008D" w:rsidP="00651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1" w:type="dxa"/>
          </w:tcPr>
          <w:p w14:paraId="090FD737" w14:textId="357C952B" w:rsidR="0065147C" w:rsidRPr="001A5B94" w:rsidRDefault="0065147C" w:rsidP="006514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540">
              <w:rPr>
                <w:rFonts w:ascii="Times New Roman" w:hAnsi="Times New Roman" w:cs="Times New Roman"/>
                <w:sz w:val="24"/>
                <w:szCs w:val="24"/>
              </w:rPr>
              <w:t>37.759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3FC00962" w14:textId="0773607A" w:rsidR="0065147C" w:rsidRPr="00415937" w:rsidRDefault="0065147C" w:rsidP="006514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77540">
              <w:rPr>
                <w:rFonts w:ascii="Times New Roman" w:hAnsi="Times New Roman" w:cs="Times New Roman"/>
                <w:sz w:val="24"/>
                <w:szCs w:val="24"/>
              </w:rPr>
              <w:t>20.890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</w:tcPr>
          <w:p w14:paraId="4534DB7A" w14:textId="3269DE1C" w:rsidR="0065147C" w:rsidRPr="00415937" w:rsidRDefault="004264E0" w:rsidP="006514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</w:tcPr>
          <w:p w14:paraId="17D4C039" w14:textId="6B6C3CEA" w:rsidR="0065147C" w:rsidRPr="00415937" w:rsidRDefault="004264E0" w:rsidP="0065147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55,32</w:t>
            </w:r>
          </w:p>
        </w:tc>
      </w:tr>
    </w:tbl>
    <w:p w14:paraId="2E17F222" w14:textId="77777777" w:rsidR="00AC6F45" w:rsidRDefault="00AC6F45" w:rsidP="00010779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44620BE" w14:textId="3D7AE109" w:rsidR="00010779" w:rsidRPr="001A5B94" w:rsidRDefault="00010779" w:rsidP="0001077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A5B94">
        <w:rPr>
          <w:rFonts w:ascii="Times New Roman" w:hAnsi="Times New Roman" w:cs="Times New Roman"/>
          <w:i/>
          <w:sz w:val="24"/>
          <w:szCs w:val="24"/>
        </w:rPr>
        <w:t xml:space="preserve">Nastavno su prikazani institucijski rezultati koji su </w:t>
      </w:r>
      <w:r w:rsidR="003E6F84">
        <w:rPr>
          <w:rFonts w:ascii="Times New Roman" w:hAnsi="Times New Roman" w:cs="Times New Roman"/>
          <w:i/>
          <w:sz w:val="24"/>
          <w:szCs w:val="24"/>
        </w:rPr>
        <w:t xml:space="preserve">ostvareni </w:t>
      </w:r>
      <w:r w:rsidR="007D53BD">
        <w:rPr>
          <w:rFonts w:ascii="Times New Roman" w:hAnsi="Times New Roman" w:cs="Times New Roman"/>
          <w:i/>
          <w:sz w:val="24"/>
          <w:szCs w:val="24"/>
        </w:rPr>
        <w:t>p</w:t>
      </w:r>
      <w:r w:rsidRPr="001A5B94">
        <w:rPr>
          <w:rFonts w:ascii="Times New Roman" w:hAnsi="Times New Roman" w:cs="Times New Roman"/>
          <w:i/>
          <w:sz w:val="24"/>
          <w:szCs w:val="24"/>
        </w:rPr>
        <w:t xml:space="preserve">rogramskim ugovorom u </w:t>
      </w:r>
      <w:r w:rsidR="007D53BD">
        <w:rPr>
          <w:rFonts w:ascii="Times New Roman" w:hAnsi="Times New Roman" w:cs="Times New Roman"/>
          <w:i/>
          <w:sz w:val="24"/>
          <w:szCs w:val="24"/>
        </w:rPr>
        <w:t>izvještajnom razdoblju</w:t>
      </w:r>
      <w:r w:rsidRPr="001A5B94">
        <w:rPr>
          <w:rFonts w:ascii="Times New Roman" w:hAnsi="Times New Roman" w:cs="Times New Roman"/>
          <w:i/>
          <w:sz w:val="24"/>
          <w:szCs w:val="24"/>
        </w:rPr>
        <w:t xml:space="preserve"> programskog financiranja</w:t>
      </w:r>
      <w:r w:rsidR="00CD6F16">
        <w:rPr>
          <w:rFonts w:ascii="Times New Roman" w:hAnsi="Times New Roman" w:cs="Times New Roman"/>
          <w:i/>
          <w:sz w:val="24"/>
          <w:szCs w:val="24"/>
        </w:rPr>
        <w:t>.</w:t>
      </w:r>
    </w:p>
    <w:tbl>
      <w:tblPr>
        <w:tblStyle w:val="TableGrid"/>
        <w:tblW w:w="9317" w:type="dxa"/>
        <w:tblInd w:w="-2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1559"/>
        <w:gridCol w:w="770"/>
        <w:gridCol w:w="2007"/>
        <w:gridCol w:w="1720"/>
      </w:tblGrid>
      <w:tr w:rsidR="0084143A" w:rsidRPr="001A5B94" w14:paraId="19FA2E19" w14:textId="77777777" w:rsidTr="007B11D8">
        <w:trPr>
          <w:trHeight w:val="33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1630B97" w14:textId="77777777" w:rsidR="0084143A" w:rsidRPr="001A5B94" w:rsidRDefault="00841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223686898"/>
            <w:bookmarkStart w:id="9" w:name="_Hlk158282128"/>
            <w:r w:rsidRPr="001A5B94">
              <w:rPr>
                <w:rFonts w:ascii="Times New Roman" w:hAnsi="Times New Roman" w:cs="Times New Roman"/>
                <w:sz w:val="24"/>
                <w:szCs w:val="24"/>
              </w:rPr>
              <w:t>Pokazatelj rezultata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FC06F5C" w14:textId="77777777" w:rsidR="0084143A" w:rsidRPr="001A5B94" w:rsidRDefault="00841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>Definicija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47CC52E" w14:textId="77777777" w:rsidR="0084143A" w:rsidRPr="001A5B94" w:rsidRDefault="00841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>Jedinica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1A56EB9" w14:textId="77777777" w:rsidR="0084143A" w:rsidRPr="001A5B94" w:rsidRDefault="00841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>Izvor podataka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2957018" w14:textId="58FBCA16" w:rsidR="0084143A" w:rsidRPr="001A5B94" w:rsidRDefault="00841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>rijednost za 202</w:t>
            </w:r>
            <w:r w:rsidR="006514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4143A" w:rsidRPr="001A5B94" w14:paraId="2A97AF2D" w14:textId="77777777" w:rsidTr="00AC6F45">
        <w:trPr>
          <w:trHeight w:val="116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45B5" w14:textId="77777777" w:rsidR="0084143A" w:rsidRPr="00A325CB" w:rsidRDefault="0084143A" w:rsidP="0001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Hlk223686788"/>
            <w:bookmarkEnd w:id="8"/>
            <w:r w:rsidRPr="00A325CB">
              <w:rPr>
                <w:rFonts w:ascii="Times New Roman" w:hAnsi="Times New Roman" w:cs="Times New Roman"/>
                <w:sz w:val="24"/>
                <w:szCs w:val="24"/>
              </w:rPr>
              <w:t>Broj studenata</w:t>
            </w:r>
          </w:p>
          <w:p w14:paraId="50C9F550" w14:textId="77777777" w:rsidR="0084143A" w:rsidRPr="00A325CB" w:rsidRDefault="0084143A" w:rsidP="0001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DF9E" w14:textId="77777777" w:rsidR="0084143A" w:rsidRPr="00A325CB" w:rsidRDefault="0084143A" w:rsidP="0001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5CB">
              <w:rPr>
                <w:rFonts w:ascii="Times New Roman" w:hAnsi="Times New Roman" w:cs="Times New Roman"/>
                <w:sz w:val="24"/>
                <w:szCs w:val="24"/>
              </w:rPr>
              <w:t>Udio dolaznih međunarodnih studenata (dolazna mobilnost studenata)</w:t>
            </w:r>
          </w:p>
          <w:p w14:paraId="77939D44" w14:textId="77777777" w:rsidR="0084143A" w:rsidRPr="00A325CB" w:rsidRDefault="0084143A" w:rsidP="0001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5370E" w14:textId="77777777" w:rsidR="0084143A" w:rsidRPr="00A325CB" w:rsidRDefault="0084143A" w:rsidP="0001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5CB">
              <w:rPr>
                <w:rFonts w:ascii="Times New Roman" w:hAnsi="Times New Roman" w:cs="Times New Roman"/>
                <w:sz w:val="24"/>
                <w:szCs w:val="24"/>
              </w:rPr>
              <w:t>student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0FF1" w14:textId="77777777" w:rsidR="007C41B3" w:rsidRPr="007C41B3" w:rsidRDefault="007C41B3" w:rsidP="007C4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1B3">
              <w:rPr>
                <w:rFonts w:ascii="Times New Roman" w:hAnsi="Times New Roman" w:cs="Times New Roman"/>
                <w:sz w:val="24"/>
                <w:szCs w:val="24"/>
              </w:rPr>
              <w:t xml:space="preserve">ISVU baza podataka </w:t>
            </w:r>
          </w:p>
          <w:p w14:paraId="70567421" w14:textId="1B27F23A" w:rsidR="00B37A8E" w:rsidRPr="00A325CB" w:rsidRDefault="007C41B3" w:rsidP="007C4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41B3">
              <w:rPr>
                <w:rFonts w:ascii="Times New Roman" w:hAnsi="Times New Roman" w:cs="Times New Roman"/>
                <w:sz w:val="24"/>
                <w:szCs w:val="24"/>
              </w:rPr>
              <w:t>ak. g. 202</w:t>
            </w:r>
            <w:r w:rsidR="004264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C41B3"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4264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FF30" w14:textId="77777777" w:rsidR="007C41B3" w:rsidRPr="004264E0" w:rsidRDefault="007C41B3" w:rsidP="007C41B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B11D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84143A" w:rsidRPr="001A5B94" w14:paraId="2E657D4F" w14:textId="77777777" w:rsidTr="00AC6F45">
        <w:trPr>
          <w:trHeight w:val="6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829EA" w14:textId="77777777" w:rsidR="0084143A" w:rsidRPr="00A325CB" w:rsidRDefault="0084143A" w:rsidP="0001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5CB">
              <w:rPr>
                <w:rFonts w:ascii="Times New Roman" w:hAnsi="Times New Roman" w:cs="Times New Roman"/>
                <w:sz w:val="24"/>
                <w:szCs w:val="24"/>
              </w:rPr>
              <w:t>Broj studenata koji su u prethodnoj akademskoj godini stekli minimalno 55 ECTS bodova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CC44F" w14:textId="77777777" w:rsidR="0084143A" w:rsidRPr="00A325CB" w:rsidRDefault="0084143A" w:rsidP="0001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5CB">
              <w:rPr>
                <w:rFonts w:ascii="Times New Roman" w:hAnsi="Times New Roman" w:cs="Times New Roman"/>
                <w:sz w:val="24"/>
                <w:szCs w:val="24"/>
              </w:rPr>
              <w:t>Uspješnost studiranja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3DD6B" w14:textId="77777777" w:rsidR="0084143A" w:rsidRPr="00A325CB" w:rsidRDefault="0084143A" w:rsidP="0001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5CB">
              <w:rPr>
                <w:rFonts w:ascii="Times New Roman" w:hAnsi="Times New Roman" w:cs="Times New Roman"/>
                <w:sz w:val="24"/>
                <w:szCs w:val="24"/>
              </w:rPr>
              <w:t>Broj studenata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24017" w14:textId="77777777" w:rsidR="007C41B3" w:rsidRDefault="007C41B3" w:rsidP="007C4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5CB">
              <w:rPr>
                <w:rFonts w:ascii="Times New Roman" w:hAnsi="Times New Roman" w:cs="Times New Roman"/>
                <w:sz w:val="24"/>
                <w:szCs w:val="24"/>
              </w:rPr>
              <w:t>ISVU baza podataka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D1939E" w14:textId="564DA05F" w:rsidR="007C41B3" w:rsidRPr="00A325CB" w:rsidRDefault="007C41B3" w:rsidP="007C41B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ak. g. 202</w:t>
            </w:r>
            <w:r w:rsidR="004264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4264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8BF08" w14:textId="4EF8454A" w:rsidR="0084143A" w:rsidRPr="004264E0" w:rsidRDefault="007B11D8" w:rsidP="0001077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B11D8"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</w:tr>
      <w:tr w:rsidR="0084143A" w:rsidRPr="001A5B94" w14:paraId="21AA543E" w14:textId="77777777" w:rsidTr="00AC6F45">
        <w:trPr>
          <w:trHeight w:val="286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50CA8" w14:textId="77777777" w:rsidR="0084143A" w:rsidRPr="00A325CB" w:rsidRDefault="0084143A" w:rsidP="0001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_Hlk190086705"/>
            <w:r w:rsidRPr="00A325CB">
              <w:rPr>
                <w:rFonts w:ascii="Times New Roman" w:hAnsi="Times New Roman" w:cs="Times New Roman"/>
                <w:sz w:val="24"/>
                <w:szCs w:val="24"/>
              </w:rPr>
              <w:t xml:space="preserve">Broj radova objavljenih u časopisima uvedenim u </w:t>
            </w:r>
          </w:p>
          <w:p w14:paraId="39432B0D" w14:textId="77777777" w:rsidR="0084143A" w:rsidRPr="00A325CB" w:rsidRDefault="0084143A" w:rsidP="0001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5CB">
              <w:rPr>
                <w:rFonts w:ascii="Times New Roman" w:hAnsi="Times New Roman" w:cs="Times New Roman"/>
                <w:sz w:val="24"/>
                <w:szCs w:val="24"/>
              </w:rPr>
              <w:t xml:space="preserve">-bazi Web of Science za STEM područja znanosti, </w:t>
            </w:r>
          </w:p>
          <w:p w14:paraId="60D75708" w14:textId="77777777" w:rsidR="0084143A" w:rsidRPr="00A325CB" w:rsidRDefault="0084143A" w:rsidP="0001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5CB">
              <w:rPr>
                <w:rFonts w:ascii="Times New Roman" w:hAnsi="Times New Roman" w:cs="Times New Roman"/>
                <w:sz w:val="24"/>
                <w:szCs w:val="24"/>
              </w:rPr>
              <w:t>- broj radova objavljenih u časopisima uvedenim u bazu Web of Science i bazu SCOPUS za društveno, humanističko i interdisciplinarno područje znanosti i umjetnosti (objavljenih tijekom jedne godine)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2A86C" w14:textId="77777777" w:rsidR="0084143A" w:rsidRPr="00A325CB" w:rsidRDefault="0084143A" w:rsidP="0001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5CB">
              <w:rPr>
                <w:rFonts w:ascii="Times New Roman" w:hAnsi="Times New Roman" w:cs="Times New Roman"/>
                <w:sz w:val="24"/>
                <w:szCs w:val="24"/>
              </w:rPr>
              <w:t>Znanstvena produktivnost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3FAE4" w14:textId="77777777" w:rsidR="0084143A" w:rsidRPr="00A325CB" w:rsidRDefault="0084143A" w:rsidP="0001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5CB">
              <w:rPr>
                <w:rFonts w:ascii="Times New Roman" w:hAnsi="Times New Roman" w:cs="Times New Roman"/>
                <w:sz w:val="24"/>
                <w:szCs w:val="24"/>
              </w:rPr>
              <w:t>Broj radova</w:t>
            </w:r>
          </w:p>
          <w:p w14:paraId="666CFDDA" w14:textId="77777777" w:rsidR="0084143A" w:rsidRPr="00A325CB" w:rsidRDefault="0084143A" w:rsidP="0001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538C4D" w14:textId="77777777" w:rsidR="0084143A" w:rsidRPr="00A325CB" w:rsidRDefault="0084143A" w:rsidP="0001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A6CB1" w14:textId="77777777" w:rsidR="009B0254" w:rsidRPr="009B0254" w:rsidRDefault="009B0254" w:rsidP="009B02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0254">
              <w:rPr>
                <w:rFonts w:ascii="Times New Roman" w:hAnsi="Times New Roman" w:cs="Times New Roman"/>
                <w:i/>
                <w:sz w:val="24"/>
                <w:szCs w:val="24"/>
              </w:rPr>
              <w:t>Web of Science)</w:t>
            </w:r>
          </w:p>
          <w:p w14:paraId="6A68B2EA" w14:textId="77777777" w:rsidR="009B0254" w:rsidRPr="009B0254" w:rsidRDefault="009B0254" w:rsidP="009B02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02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4DA4BB6F" w14:textId="77777777" w:rsidR="009B0254" w:rsidRPr="009B0254" w:rsidRDefault="009B0254" w:rsidP="009B02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0254">
              <w:rPr>
                <w:rFonts w:ascii="Times New Roman" w:hAnsi="Times New Roman" w:cs="Times New Roman"/>
                <w:i/>
                <w:sz w:val="24"/>
                <w:szCs w:val="24"/>
              </w:rPr>
              <w:t>SCOPUS</w:t>
            </w:r>
          </w:p>
          <w:p w14:paraId="43B777E7" w14:textId="77777777" w:rsidR="009B0254" w:rsidRPr="009B0254" w:rsidRDefault="009B0254" w:rsidP="009B02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07FA5F1" w14:textId="77777777" w:rsidR="0084143A" w:rsidRPr="00A325CB" w:rsidRDefault="009B0254" w:rsidP="009B025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0254">
              <w:rPr>
                <w:rFonts w:ascii="Times New Roman" w:hAnsi="Times New Roman" w:cs="Times New Roman"/>
                <w:i/>
                <w:sz w:val="24"/>
                <w:szCs w:val="24"/>
              </w:rPr>
              <w:t>DH znanosti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E0443" w14:textId="398BBD2A" w:rsidR="0084143A" w:rsidRPr="00FF7C6E" w:rsidRDefault="00FF7C6E" w:rsidP="0001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14:paraId="70C665F7" w14:textId="77777777" w:rsidR="0084143A" w:rsidRPr="00FF7C6E" w:rsidRDefault="0084143A" w:rsidP="0001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4296AA" w14:textId="3356111D" w:rsidR="0084143A" w:rsidRDefault="00FF7C6E" w:rsidP="0001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14:paraId="024C0111" w14:textId="77777777" w:rsidR="00FF7C6E" w:rsidRDefault="00FF7C6E" w:rsidP="0001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688763" w14:textId="1A1ED5A1" w:rsidR="00FF7C6E" w:rsidRPr="00FF7C6E" w:rsidRDefault="00FF7C6E" w:rsidP="00010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21FDD392" w14:textId="40E4BDD6" w:rsidR="009B0254" w:rsidRPr="004264E0" w:rsidRDefault="009B0254" w:rsidP="0001077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4143A" w:rsidRPr="001A5B94" w14:paraId="54421BED" w14:textId="77777777" w:rsidTr="00AC6F45">
        <w:trPr>
          <w:trHeight w:val="83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E9DF3" w14:textId="77777777" w:rsidR="0084143A" w:rsidRPr="00A325CB" w:rsidRDefault="00841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_Hlk223686642"/>
            <w:bookmarkEnd w:id="10"/>
            <w:bookmarkEnd w:id="11"/>
            <w:r w:rsidRPr="00A325CB">
              <w:rPr>
                <w:rFonts w:ascii="Times New Roman" w:hAnsi="Times New Roman" w:cs="Times New Roman"/>
                <w:sz w:val="24"/>
                <w:szCs w:val="24"/>
              </w:rPr>
              <w:t> Omjer broja završenih studenata u akademskoj godini i broja studenata upisanih u prvu godinu te akademske godine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E3B70" w14:textId="77777777" w:rsidR="0084143A" w:rsidRDefault="00841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5CB">
              <w:rPr>
                <w:rFonts w:ascii="Times New Roman" w:hAnsi="Times New Roman" w:cs="Times New Roman"/>
                <w:sz w:val="24"/>
                <w:szCs w:val="24"/>
              </w:rPr>
              <w:t>Završnost studija</w:t>
            </w:r>
          </w:p>
          <w:p w14:paraId="7B2AE817" w14:textId="77777777" w:rsidR="00B37A8E" w:rsidRPr="00A325CB" w:rsidRDefault="00B3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6A13C" w14:textId="77777777" w:rsidR="0084143A" w:rsidRPr="00A325CB" w:rsidRDefault="00841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5CB">
              <w:rPr>
                <w:rFonts w:ascii="Times New Roman" w:hAnsi="Times New Roman" w:cs="Times New Roman"/>
                <w:sz w:val="24"/>
                <w:szCs w:val="24"/>
              </w:rPr>
              <w:t>Omjer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43D68" w14:textId="77777777" w:rsidR="00B37A8E" w:rsidRDefault="00841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5CB">
              <w:rPr>
                <w:rFonts w:ascii="Times New Roman" w:hAnsi="Times New Roman" w:cs="Times New Roman"/>
                <w:sz w:val="24"/>
                <w:szCs w:val="24"/>
              </w:rPr>
              <w:t>ISVU baza podataka</w:t>
            </w:r>
            <w:r w:rsidR="00B37A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24AAFB" w14:textId="359FCFE5" w:rsidR="0084143A" w:rsidRPr="00A325CB" w:rsidRDefault="00B37A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ak. g. 202</w:t>
            </w:r>
            <w:r w:rsidR="004264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/202</w:t>
            </w:r>
            <w:r w:rsidR="004264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01DC0" w14:textId="2CBEA48C" w:rsidR="0084143A" w:rsidRPr="004264E0" w:rsidRDefault="009237ED" w:rsidP="00067167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237ED">
              <w:rPr>
                <w:rFonts w:ascii="Times New Roman" w:hAnsi="Times New Roman" w:cs="Times New Roman"/>
                <w:sz w:val="24"/>
                <w:szCs w:val="24"/>
              </w:rPr>
              <w:t>0,63</w:t>
            </w:r>
          </w:p>
        </w:tc>
      </w:tr>
    </w:tbl>
    <w:bookmarkEnd w:id="9"/>
    <w:bookmarkEnd w:id="12"/>
    <w:p w14:paraId="784E7782" w14:textId="77777777" w:rsidR="009237ED" w:rsidRPr="001A5B94" w:rsidRDefault="009237ED" w:rsidP="009237ED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0074">
        <w:rPr>
          <w:rFonts w:ascii="Times New Roman" w:hAnsi="Times New Roman" w:cs="Times New Roman"/>
          <w:b/>
          <w:sz w:val="28"/>
          <w:szCs w:val="28"/>
        </w:rPr>
        <w:lastRenderedPageBreak/>
        <w:t>A621183 Stipendije i školarine za doktorski studij</w:t>
      </w:r>
    </w:p>
    <w:p w14:paraId="70FD2DC4" w14:textId="77777777" w:rsidR="009237ED" w:rsidRDefault="009237ED" w:rsidP="0027353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145"/>
        <w:tblW w:w="0" w:type="auto"/>
        <w:tblLook w:val="04A0" w:firstRow="1" w:lastRow="0" w:firstColumn="1" w:lastColumn="0" w:noHBand="0" w:noVBand="1"/>
      </w:tblPr>
      <w:tblGrid>
        <w:gridCol w:w="1643"/>
        <w:gridCol w:w="1251"/>
        <w:gridCol w:w="1251"/>
        <w:gridCol w:w="1251"/>
        <w:gridCol w:w="1250"/>
        <w:gridCol w:w="1251"/>
        <w:gridCol w:w="1165"/>
      </w:tblGrid>
      <w:tr w:rsidR="009237ED" w:rsidRPr="001A5B94" w14:paraId="26FB2B44" w14:textId="77777777" w:rsidTr="009237ED">
        <w:tc>
          <w:tcPr>
            <w:tcW w:w="1643" w:type="dxa"/>
            <w:shd w:val="clear" w:color="auto" w:fill="D0CECE" w:themeFill="background2" w:themeFillShade="E6"/>
          </w:tcPr>
          <w:p w14:paraId="713DC43F" w14:textId="77777777" w:rsidR="009237ED" w:rsidRPr="001A5B94" w:rsidRDefault="009237ED" w:rsidP="0092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EA516" w14:textId="49FDEA44" w:rsidR="009237ED" w:rsidRPr="001A5B94" w:rsidRDefault="00AC6F45" w:rsidP="009237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Aktivnost</w:t>
            </w:r>
          </w:p>
        </w:tc>
        <w:tc>
          <w:tcPr>
            <w:tcW w:w="1251" w:type="dxa"/>
            <w:shd w:val="clear" w:color="auto" w:fill="D0CECE" w:themeFill="background2" w:themeFillShade="E6"/>
            <w:vAlign w:val="center"/>
          </w:tcPr>
          <w:p w14:paraId="0630351B" w14:textId="77777777" w:rsidR="009237ED" w:rsidRPr="001A5B94" w:rsidRDefault="009237ED" w:rsidP="00923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>Izvršenje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1" w:type="dxa"/>
            <w:shd w:val="clear" w:color="auto" w:fill="D0CECE" w:themeFill="background2" w:themeFillShade="E6"/>
            <w:vAlign w:val="center"/>
          </w:tcPr>
          <w:p w14:paraId="027206CF" w14:textId="77777777" w:rsidR="009237ED" w:rsidRPr="001A5B94" w:rsidRDefault="009237ED" w:rsidP="00923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1" w:type="dxa"/>
            <w:shd w:val="clear" w:color="auto" w:fill="D0CECE" w:themeFill="background2" w:themeFillShade="E6"/>
            <w:vAlign w:val="center"/>
          </w:tcPr>
          <w:p w14:paraId="6B7BD6F0" w14:textId="77777777" w:rsidR="009237ED" w:rsidRPr="001A5B94" w:rsidRDefault="009237ED" w:rsidP="00923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Rebalans</w:t>
            </w: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0" w:type="dxa"/>
            <w:shd w:val="clear" w:color="auto" w:fill="D0CECE" w:themeFill="background2" w:themeFillShade="E6"/>
            <w:vAlign w:val="center"/>
          </w:tcPr>
          <w:p w14:paraId="08F1A7AF" w14:textId="77777777" w:rsidR="009237ED" w:rsidRPr="001A5B94" w:rsidRDefault="009237ED" w:rsidP="00923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Izvršenje 2025.</w:t>
            </w:r>
          </w:p>
        </w:tc>
        <w:tc>
          <w:tcPr>
            <w:tcW w:w="1251" w:type="dxa"/>
            <w:shd w:val="clear" w:color="auto" w:fill="D0CECE" w:themeFill="background2" w:themeFillShade="E6"/>
            <w:vAlign w:val="center"/>
          </w:tcPr>
          <w:p w14:paraId="39BA9DBF" w14:textId="77777777" w:rsidR="009237ED" w:rsidRPr="001A5B94" w:rsidRDefault="009237ED" w:rsidP="00923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Indeks </w:t>
            </w:r>
            <w:r w:rsidRPr="00390036">
              <w:rPr>
                <w:rFonts w:ascii="Times New Roman" w:hAnsi="Times New Roman" w:cs="Times New Roman"/>
                <w:sz w:val="20"/>
                <w:szCs w:val="20"/>
              </w:rPr>
              <w:t>5/2*100</w:t>
            </w:r>
          </w:p>
        </w:tc>
        <w:tc>
          <w:tcPr>
            <w:tcW w:w="1165" w:type="dxa"/>
            <w:shd w:val="clear" w:color="auto" w:fill="D0CECE" w:themeFill="background2" w:themeFillShade="E6"/>
            <w:vAlign w:val="center"/>
          </w:tcPr>
          <w:p w14:paraId="47427291" w14:textId="77777777" w:rsidR="009237ED" w:rsidRDefault="009237ED" w:rsidP="00923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>Indeks</w:t>
            </w:r>
          </w:p>
          <w:p w14:paraId="5B31F7C5" w14:textId="77777777" w:rsidR="009237ED" w:rsidRPr="00390036" w:rsidRDefault="009237ED" w:rsidP="009237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036">
              <w:rPr>
                <w:rFonts w:ascii="Times New Roman" w:hAnsi="Times New Roman" w:cs="Times New Roman"/>
                <w:sz w:val="20"/>
                <w:szCs w:val="20"/>
              </w:rPr>
              <w:t>5/4*100</w:t>
            </w:r>
          </w:p>
        </w:tc>
      </w:tr>
      <w:tr w:rsidR="009237ED" w:rsidRPr="001A5B94" w14:paraId="06ACEFB7" w14:textId="77777777" w:rsidTr="009237ED">
        <w:trPr>
          <w:trHeight w:val="58"/>
        </w:trPr>
        <w:tc>
          <w:tcPr>
            <w:tcW w:w="1643" w:type="dxa"/>
            <w:shd w:val="clear" w:color="auto" w:fill="D0CECE" w:themeFill="background2" w:themeFillShade="E6"/>
          </w:tcPr>
          <w:p w14:paraId="0CB79C5C" w14:textId="77777777" w:rsidR="009237ED" w:rsidRPr="00390036" w:rsidRDefault="009237ED" w:rsidP="009237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03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1" w:type="dxa"/>
            <w:shd w:val="clear" w:color="auto" w:fill="D0CECE" w:themeFill="background2" w:themeFillShade="E6"/>
            <w:vAlign w:val="center"/>
          </w:tcPr>
          <w:p w14:paraId="7AF621ED" w14:textId="77777777" w:rsidR="009237ED" w:rsidRPr="00390036" w:rsidRDefault="009237ED" w:rsidP="009237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03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51" w:type="dxa"/>
            <w:shd w:val="clear" w:color="auto" w:fill="D0CECE" w:themeFill="background2" w:themeFillShade="E6"/>
            <w:vAlign w:val="center"/>
          </w:tcPr>
          <w:p w14:paraId="4F807D41" w14:textId="77777777" w:rsidR="009237ED" w:rsidRPr="00390036" w:rsidRDefault="009237ED" w:rsidP="009237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03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51" w:type="dxa"/>
            <w:shd w:val="clear" w:color="auto" w:fill="D0CECE" w:themeFill="background2" w:themeFillShade="E6"/>
            <w:vAlign w:val="center"/>
          </w:tcPr>
          <w:p w14:paraId="0F51FFB5" w14:textId="77777777" w:rsidR="009237ED" w:rsidRPr="00390036" w:rsidRDefault="009237ED" w:rsidP="009237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03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7CB751B" w14:textId="77777777" w:rsidR="009237ED" w:rsidRPr="00390036" w:rsidRDefault="009237ED" w:rsidP="009237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03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358690C" w14:textId="77777777" w:rsidR="009237ED" w:rsidRPr="00390036" w:rsidRDefault="009237ED" w:rsidP="009237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03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6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1C2BBD6" w14:textId="77777777" w:rsidR="009237ED" w:rsidRPr="00390036" w:rsidRDefault="009237ED" w:rsidP="009237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03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9237ED" w:rsidRPr="001A5B94" w14:paraId="5BC28F6A" w14:textId="77777777" w:rsidTr="009237ED">
        <w:tc>
          <w:tcPr>
            <w:tcW w:w="1643" w:type="dxa"/>
          </w:tcPr>
          <w:p w14:paraId="3374F355" w14:textId="77777777" w:rsidR="009237ED" w:rsidRPr="001A5B94" w:rsidRDefault="009237ED" w:rsidP="00923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>A62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1183</w:t>
            </w:r>
          </w:p>
        </w:tc>
        <w:tc>
          <w:tcPr>
            <w:tcW w:w="1251" w:type="dxa"/>
          </w:tcPr>
          <w:p w14:paraId="28A7D208" w14:textId="77777777" w:rsidR="009237ED" w:rsidRPr="001A5B94" w:rsidRDefault="009237ED" w:rsidP="009237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60654">
              <w:rPr>
                <w:rFonts w:ascii="Times New Roman" w:hAnsi="Times New Roman" w:cs="Times New Roman"/>
                <w:sz w:val="24"/>
                <w:szCs w:val="24"/>
              </w:rPr>
              <w:t>943</w:t>
            </w:r>
          </w:p>
        </w:tc>
        <w:tc>
          <w:tcPr>
            <w:tcW w:w="1251" w:type="dxa"/>
          </w:tcPr>
          <w:p w14:paraId="493141B1" w14:textId="77777777" w:rsidR="009237ED" w:rsidRPr="001A5B94" w:rsidRDefault="009237ED" w:rsidP="009237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</w:tcPr>
          <w:p w14:paraId="01B1F367" w14:textId="77777777" w:rsidR="009237ED" w:rsidRPr="001A5B94" w:rsidRDefault="009237ED" w:rsidP="009237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77540">
              <w:rPr>
                <w:rFonts w:ascii="Times New Roman" w:hAnsi="Times New Roman" w:cs="Times New Roman"/>
                <w:sz w:val="24"/>
                <w:szCs w:val="24"/>
              </w:rPr>
              <w:t>1.405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22D37090" w14:textId="77777777" w:rsidR="009237ED" w:rsidRPr="00415937" w:rsidRDefault="009237ED" w:rsidP="009237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77540">
              <w:rPr>
                <w:rFonts w:ascii="Times New Roman" w:hAnsi="Times New Roman" w:cs="Times New Roman"/>
                <w:sz w:val="24"/>
                <w:szCs w:val="24"/>
              </w:rPr>
              <w:t>1.40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</w:tcPr>
          <w:p w14:paraId="24921C5C" w14:textId="77777777" w:rsidR="009237ED" w:rsidRPr="00415937" w:rsidRDefault="009237ED" w:rsidP="009237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148,99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</w:tcPr>
          <w:p w14:paraId="1456A9F3" w14:textId="77777777" w:rsidR="009237ED" w:rsidRPr="00415937" w:rsidRDefault="009237ED" w:rsidP="009237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</w:tbl>
    <w:p w14:paraId="07537A8C" w14:textId="77777777" w:rsidR="009237ED" w:rsidRDefault="009237ED" w:rsidP="0027353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F74ABD" w14:textId="1C698C56" w:rsidR="00273530" w:rsidRDefault="00273530" w:rsidP="0027353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ovoj aktivnosti </w:t>
      </w:r>
      <w:r w:rsidR="00A41D54">
        <w:rPr>
          <w:rFonts w:ascii="Times New Roman" w:hAnsi="Times New Roman" w:cs="Times New Roman"/>
          <w:sz w:val="24"/>
          <w:szCs w:val="24"/>
        </w:rPr>
        <w:t xml:space="preserve">izvršavaju </w:t>
      </w:r>
      <w:r>
        <w:rPr>
          <w:rFonts w:ascii="Times New Roman" w:hAnsi="Times New Roman" w:cs="Times New Roman"/>
          <w:sz w:val="24"/>
          <w:szCs w:val="24"/>
        </w:rPr>
        <w:t>se troškovi refundacij</w:t>
      </w:r>
      <w:r w:rsidR="00AC6F45">
        <w:rPr>
          <w:rFonts w:ascii="Times New Roman" w:hAnsi="Times New Roman" w:cs="Times New Roman"/>
          <w:sz w:val="24"/>
          <w:szCs w:val="24"/>
        </w:rPr>
        <w:t>a tiska i</w:t>
      </w:r>
      <w:r w:rsidRPr="00273530">
        <w:rPr>
          <w:rFonts w:ascii="Times New Roman" w:hAnsi="Times New Roman" w:cs="Times New Roman"/>
          <w:sz w:val="24"/>
          <w:szCs w:val="24"/>
        </w:rPr>
        <w:t xml:space="preserve"> izrade doktorske disertacije zaposlenicima koji su stekli zvanje doktora znanost</w:t>
      </w:r>
      <w:r w:rsidR="007F5A3B">
        <w:rPr>
          <w:rFonts w:ascii="Times New Roman" w:hAnsi="Times New Roman" w:cs="Times New Roman"/>
          <w:sz w:val="24"/>
          <w:szCs w:val="24"/>
        </w:rPr>
        <w:t>i, a</w:t>
      </w:r>
      <w:r w:rsidR="00686F2E">
        <w:rPr>
          <w:rFonts w:ascii="Times New Roman" w:hAnsi="Times New Roman" w:cs="Times New Roman"/>
          <w:sz w:val="24"/>
          <w:szCs w:val="24"/>
        </w:rPr>
        <w:t xml:space="preserve"> u 2025. godini </w:t>
      </w:r>
      <w:r w:rsidR="007F5A3B">
        <w:rPr>
          <w:rFonts w:ascii="Times New Roman" w:hAnsi="Times New Roman" w:cs="Times New Roman"/>
          <w:sz w:val="24"/>
          <w:szCs w:val="24"/>
        </w:rPr>
        <w:t xml:space="preserve">odnose se na </w:t>
      </w:r>
      <w:r w:rsidR="0070142B">
        <w:rPr>
          <w:rFonts w:ascii="Times New Roman" w:hAnsi="Times New Roman" w:cs="Times New Roman"/>
          <w:sz w:val="24"/>
          <w:szCs w:val="24"/>
        </w:rPr>
        <w:t xml:space="preserve">četiri </w:t>
      </w:r>
      <w:r w:rsidR="007F5A3B">
        <w:rPr>
          <w:rFonts w:ascii="Times New Roman" w:hAnsi="Times New Roman" w:cs="Times New Roman"/>
          <w:sz w:val="24"/>
          <w:szCs w:val="24"/>
        </w:rPr>
        <w:t>zaposlenika Fakulteta.</w:t>
      </w:r>
    </w:p>
    <w:p w14:paraId="0EFAEB23" w14:textId="77777777" w:rsidR="009B0254" w:rsidRPr="00273530" w:rsidRDefault="009B0254" w:rsidP="0027353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B1B5337" w14:textId="77777777" w:rsidR="00F13465" w:rsidRPr="001A5B94" w:rsidRDefault="00F13465" w:rsidP="00F13465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3" w:name="_Hlk223532470"/>
      <w:r w:rsidRPr="001A5B94">
        <w:rPr>
          <w:rFonts w:ascii="Times New Roman" w:hAnsi="Times New Roman" w:cs="Times New Roman"/>
          <w:b/>
          <w:sz w:val="28"/>
          <w:szCs w:val="28"/>
        </w:rPr>
        <w:t>A</w:t>
      </w:r>
      <w:bookmarkStart w:id="14" w:name="_Hlk190087402"/>
      <w:r w:rsidRPr="001A5B94">
        <w:rPr>
          <w:rFonts w:ascii="Times New Roman" w:hAnsi="Times New Roman" w:cs="Times New Roman"/>
          <w:b/>
          <w:sz w:val="28"/>
          <w:szCs w:val="28"/>
        </w:rPr>
        <w:t>62</w:t>
      </w:r>
      <w:r>
        <w:rPr>
          <w:rFonts w:ascii="Times New Roman" w:hAnsi="Times New Roman" w:cs="Times New Roman"/>
          <w:b/>
          <w:sz w:val="28"/>
          <w:szCs w:val="28"/>
        </w:rPr>
        <w:t>1181</w:t>
      </w:r>
      <w:r w:rsidRPr="001A5B9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Pravomoćne sudske presude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3"/>
        <w:gridCol w:w="1251"/>
        <w:gridCol w:w="1251"/>
        <w:gridCol w:w="1251"/>
        <w:gridCol w:w="1250"/>
        <w:gridCol w:w="1251"/>
        <w:gridCol w:w="1165"/>
      </w:tblGrid>
      <w:tr w:rsidR="005A0ABE" w:rsidRPr="001A5B94" w14:paraId="7E0C5577" w14:textId="77777777" w:rsidTr="00D02775">
        <w:tc>
          <w:tcPr>
            <w:tcW w:w="1643" w:type="dxa"/>
            <w:shd w:val="clear" w:color="auto" w:fill="D0CECE" w:themeFill="background2" w:themeFillShade="E6"/>
          </w:tcPr>
          <w:p w14:paraId="725432FA" w14:textId="77777777" w:rsidR="005A0ABE" w:rsidRPr="001A5B94" w:rsidRDefault="005A0ABE" w:rsidP="005A0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_Hlk223532516"/>
            <w:bookmarkEnd w:id="13"/>
          </w:p>
          <w:p w14:paraId="2334A465" w14:textId="77777777" w:rsidR="005A0ABE" w:rsidRPr="001A5B94" w:rsidRDefault="005A0ABE" w:rsidP="005A0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shd w:val="clear" w:color="auto" w:fill="D0CECE" w:themeFill="background2" w:themeFillShade="E6"/>
            <w:vAlign w:val="center"/>
          </w:tcPr>
          <w:p w14:paraId="35938F08" w14:textId="3D5F21B3" w:rsidR="005A0ABE" w:rsidRPr="001A5B94" w:rsidRDefault="005A0ABE" w:rsidP="005A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>Izvršenje 202</w:t>
            </w:r>
            <w:r w:rsidR="006514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1" w:type="dxa"/>
            <w:shd w:val="clear" w:color="auto" w:fill="D0CECE" w:themeFill="background2" w:themeFillShade="E6"/>
            <w:vAlign w:val="center"/>
          </w:tcPr>
          <w:p w14:paraId="78E305A9" w14:textId="65250737" w:rsidR="005A0ABE" w:rsidRPr="001A5B94" w:rsidRDefault="005A0ABE" w:rsidP="005A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6514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1" w:type="dxa"/>
            <w:shd w:val="clear" w:color="auto" w:fill="D0CECE" w:themeFill="background2" w:themeFillShade="E6"/>
            <w:vAlign w:val="center"/>
          </w:tcPr>
          <w:p w14:paraId="385D29D8" w14:textId="117F2A49" w:rsidR="005A0ABE" w:rsidRPr="001A5B94" w:rsidRDefault="005A0ABE" w:rsidP="005A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Rebalans</w:t>
            </w: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6514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0" w:type="dxa"/>
            <w:shd w:val="clear" w:color="auto" w:fill="D0CECE" w:themeFill="background2" w:themeFillShade="E6"/>
            <w:vAlign w:val="center"/>
          </w:tcPr>
          <w:p w14:paraId="691B0A46" w14:textId="6A483422" w:rsidR="005A0ABE" w:rsidRPr="001A5B94" w:rsidRDefault="005A0ABE" w:rsidP="005A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Izvršenje 202</w:t>
            </w:r>
            <w:r w:rsidR="006514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1" w:type="dxa"/>
            <w:shd w:val="clear" w:color="auto" w:fill="D0CECE" w:themeFill="background2" w:themeFillShade="E6"/>
            <w:vAlign w:val="center"/>
          </w:tcPr>
          <w:p w14:paraId="4D661238" w14:textId="77777777" w:rsidR="005A0ABE" w:rsidRPr="001A5B94" w:rsidRDefault="005A0ABE" w:rsidP="005A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Indeks </w:t>
            </w:r>
            <w:r w:rsidRPr="00390036">
              <w:rPr>
                <w:rFonts w:ascii="Times New Roman" w:hAnsi="Times New Roman" w:cs="Times New Roman"/>
                <w:sz w:val="20"/>
                <w:szCs w:val="20"/>
              </w:rPr>
              <w:t>5/2*100</w:t>
            </w:r>
          </w:p>
        </w:tc>
        <w:tc>
          <w:tcPr>
            <w:tcW w:w="1165" w:type="dxa"/>
            <w:shd w:val="clear" w:color="auto" w:fill="D0CECE" w:themeFill="background2" w:themeFillShade="E6"/>
            <w:vAlign w:val="center"/>
          </w:tcPr>
          <w:p w14:paraId="5FD5D2AC" w14:textId="77777777" w:rsidR="005A0ABE" w:rsidRDefault="005A0ABE" w:rsidP="005A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>Indeks</w:t>
            </w:r>
          </w:p>
          <w:p w14:paraId="28FFF2A4" w14:textId="77777777" w:rsidR="005A0ABE" w:rsidRPr="00390036" w:rsidRDefault="005A0ABE" w:rsidP="005A0A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036">
              <w:rPr>
                <w:rFonts w:ascii="Times New Roman" w:hAnsi="Times New Roman" w:cs="Times New Roman"/>
                <w:sz w:val="20"/>
                <w:szCs w:val="20"/>
              </w:rPr>
              <w:t>5/4*100</w:t>
            </w:r>
          </w:p>
        </w:tc>
      </w:tr>
      <w:tr w:rsidR="00415937" w:rsidRPr="001A5B94" w14:paraId="7D53AFF8" w14:textId="77777777" w:rsidTr="00D02775">
        <w:trPr>
          <w:trHeight w:val="58"/>
        </w:trPr>
        <w:tc>
          <w:tcPr>
            <w:tcW w:w="1643" w:type="dxa"/>
            <w:shd w:val="clear" w:color="auto" w:fill="D0CECE" w:themeFill="background2" w:themeFillShade="E6"/>
          </w:tcPr>
          <w:p w14:paraId="3A37B8E8" w14:textId="77777777" w:rsidR="00415937" w:rsidRPr="00390036" w:rsidRDefault="00415937" w:rsidP="00D02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03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1" w:type="dxa"/>
            <w:shd w:val="clear" w:color="auto" w:fill="D0CECE" w:themeFill="background2" w:themeFillShade="E6"/>
            <w:vAlign w:val="center"/>
          </w:tcPr>
          <w:p w14:paraId="06BD6DBB" w14:textId="77777777" w:rsidR="00415937" w:rsidRPr="00390036" w:rsidRDefault="00415937" w:rsidP="00D02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03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51" w:type="dxa"/>
            <w:shd w:val="clear" w:color="auto" w:fill="D0CECE" w:themeFill="background2" w:themeFillShade="E6"/>
            <w:vAlign w:val="center"/>
          </w:tcPr>
          <w:p w14:paraId="2C27636B" w14:textId="77777777" w:rsidR="00415937" w:rsidRPr="00390036" w:rsidRDefault="00415937" w:rsidP="00D02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03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51" w:type="dxa"/>
            <w:shd w:val="clear" w:color="auto" w:fill="D0CECE" w:themeFill="background2" w:themeFillShade="E6"/>
            <w:vAlign w:val="center"/>
          </w:tcPr>
          <w:p w14:paraId="7E1DDA75" w14:textId="77777777" w:rsidR="00415937" w:rsidRPr="00390036" w:rsidRDefault="00415937" w:rsidP="00D02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03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A52AB7F" w14:textId="77777777" w:rsidR="00415937" w:rsidRPr="00390036" w:rsidRDefault="00415937" w:rsidP="00D02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03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089FDAE" w14:textId="77777777" w:rsidR="00415937" w:rsidRPr="00390036" w:rsidRDefault="00415937" w:rsidP="00D02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03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6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8D5CE2F" w14:textId="77777777" w:rsidR="00415937" w:rsidRPr="00390036" w:rsidRDefault="00415937" w:rsidP="00D02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03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415937" w:rsidRPr="001A5B94" w14:paraId="51C7B31B" w14:textId="77777777" w:rsidTr="00D02775">
        <w:tc>
          <w:tcPr>
            <w:tcW w:w="1643" w:type="dxa"/>
          </w:tcPr>
          <w:p w14:paraId="0E92C791" w14:textId="77777777" w:rsidR="00415937" w:rsidRPr="001A5B94" w:rsidRDefault="00415937" w:rsidP="00D02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>A62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  <w:r w:rsidR="007F5A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1" w:type="dxa"/>
          </w:tcPr>
          <w:p w14:paraId="2FFEAC91" w14:textId="0226948A" w:rsidR="00415937" w:rsidRPr="001A5B94" w:rsidRDefault="00260654" w:rsidP="002735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60654">
              <w:rPr>
                <w:rFonts w:ascii="Times New Roman" w:hAnsi="Times New Roman" w:cs="Times New Roman"/>
                <w:sz w:val="24"/>
                <w:szCs w:val="24"/>
              </w:rPr>
              <w:t>3.234</w:t>
            </w:r>
          </w:p>
        </w:tc>
        <w:tc>
          <w:tcPr>
            <w:tcW w:w="1251" w:type="dxa"/>
          </w:tcPr>
          <w:p w14:paraId="582EF491" w14:textId="36B6CD9F" w:rsidR="00415937" w:rsidRPr="001A5B94" w:rsidRDefault="004264E0" w:rsidP="007775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1" w:type="dxa"/>
          </w:tcPr>
          <w:p w14:paraId="1C6939DE" w14:textId="1DFB2747" w:rsidR="00415937" w:rsidRPr="001A5B94" w:rsidRDefault="004264E0" w:rsidP="007775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</w:tcPr>
          <w:p w14:paraId="0BDDAF4D" w14:textId="471E9DEB" w:rsidR="00415937" w:rsidRPr="00415937" w:rsidRDefault="004264E0" w:rsidP="007775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</w:tcPr>
          <w:p w14:paraId="529AD28C" w14:textId="7C9D1303" w:rsidR="00415937" w:rsidRPr="00415937" w:rsidRDefault="004264E0" w:rsidP="007775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vAlign w:val="bottom"/>
          </w:tcPr>
          <w:p w14:paraId="188C19D5" w14:textId="30EF67B5" w:rsidR="00415937" w:rsidRPr="00415937" w:rsidRDefault="004264E0" w:rsidP="002735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bookmarkEnd w:id="14"/>
    <w:bookmarkEnd w:id="15"/>
    <w:p w14:paraId="752EEB85" w14:textId="77777777" w:rsidR="00F13465" w:rsidRDefault="00415937" w:rsidP="00ED476D">
      <w:pPr>
        <w:jc w:val="both"/>
        <w:rPr>
          <w:rFonts w:ascii="Times New Roman" w:hAnsi="Times New Roman" w:cs="Times New Roman"/>
          <w:sz w:val="24"/>
          <w:szCs w:val="24"/>
        </w:rPr>
      </w:pPr>
      <w:r w:rsidRPr="006D02E2">
        <w:rPr>
          <w:rFonts w:ascii="Times New Roman" w:hAnsi="Times New Roman" w:cs="Times New Roman"/>
          <w:sz w:val="24"/>
          <w:szCs w:val="24"/>
        </w:rPr>
        <w:t>U ovoj aktivnosti</w:t>
      </w:r>
      <w:r w:rsidR="00A41D54">
        <w:rPr>
          <w:rFonts w:ascii="Times New Roman" w:hAnsi="Times New Roman" w:cs="Times New Roman"/>
          <w:sz w:val="24"/>
          <w:szCs w:val="24"/>
        </w:rPr>
        <w:t xml:space="preserve"> izvršavaju se rashodi </w:t>
      </w:r>
      <w:r w:rsidRPr="006D02E2">
        <w:rPr>
          <w:rFonts w:ascii="Times New Roman" w:hAnsi="Times New Roman" w:cs="Times New Roman"/>
          <w:sz w:val="24"/>
          <w:szCs w:val="24"/>
        </w:rPr>
        <w:t xml:space="preserve">pravomoćnih sudskih presuda za povećanje osnovice </w:t>
      </w:r>
      <w:r w:rsidR="003E6F84">
        <w:rPr>
          <w:rFonts w:ascii="Times New Roman" w:hAnsi="Times New Roman" w:cs="Times New Roman"/>
          <w:sz w:val="24"/>
          <w:szCs w:val="24"/>
        </w:rPr>
        <w:t xml:space="preserve">za obračun plaće u visini </w:t>
      </w:r>
      <w:r w:rsidRPr="006D02E2">
        <w:rPr>
          <w:rFonts w:ascii="Times New Roman" w:hAnsi="Times New Roman" w:cs="Times New Roman"/>
          <w:sz w:val="24"/>
          <w:szCs w:val="24"/>
        </w:rPr>
        <w:t xml:space="preserve">6%, koje Fakultet treba isplatiti svojim </w:t>
      </w:r>
      <w:r w:rsidR="00A41D54">
        <w:rPr>
          <w:rFonts w:ascii="Times New Roman" w:hAnsi="Times New Roman" w:cs="Times New Roman"/>
          <w:sz w:val="24"/>
          <w:szCs w:val="24"/>
        </w:rPr>
        <w:t>zaposlenicima</w:t>
      </w:r>
      <w:r w:rsidRPr="006D02E2">
        <w:rPr>
          <w:rFonts w:ascii="Times New Roman" w:hAnsi="Times New Roman" w:cs="Times New Roman"/>
          <w:sz w:val="24"/>
          <w:szCs w:val="24"/>
        </w:rPr>
        <w:t>, a iznos 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02E2">
        <w:rPr>
          <w:rFonts w:ascii="Times New Roman" w:hAnsi="Times New Roman" w:cs="Times New Roman"/>
          <w:sz w:val="24"/>
          <w:szCs w:val="24"/>
        </w:rPr>
        <w:t xml:space="preserve"> </w:t>
      </w:r>
      <w:r w:rsidR="008557B2">
        <w:rPr>
          <w:rFonts w:ascii="Times New Roman" w:hAnsi="Times New Roman" w:cs="Times New Roman"/>
          <w:sz w:val="24"/>
          <w:szCs w:val="24"/>
        </w:rPr>
        <w:t>3.234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02E2">
        <w:rPr>
          <w:rFonts w:ascii="Times New Roman" w:hAnsi="Times New Roman" w:cs="Times New Roman"/>
          <w:sz w:val="24"/>
          <w:szCs w:val="24"/>
        </w:rPr>
        <w:t xml:space="preserve">EUR </w:t>
      </w:r>
      <w:r>
        <w:rPr>
          <w:rFonts w:ascii="Times New Roman" w:hAnsi="Times New Roman" w:cs="Times New Roman"/>
          <w:sz w:val="24"/>
          <w:szCs w:val="24"/>
        </w:rPr>
        <w:t xml:space="preserve"> odnosi se na </w:t>
      </w:r>
      <w:r w:rsidR="008557B2">
        <w:rPr>
          <w:rFonts w:ascii="Times New Roman" w:hAnsi="Times New Roman" w:cs="Times New Roman"/>
          <w:sz w:val="24"/>
          <w:szCs w:val="24"/>
        </w:rPr>
        <w:t>dvije</w:t>
      </w:r>
      <w:r w:rsidR="00506312">
        <w:rPr>
          <w:rFonts w:ascii="Times New Roman" w:hAnsi="Times New Roman" w:cs="Times New Roman"/>
          <w:sz w:val="24"/>
          <w:szCs w:val="24"/>
        </w:rPr>
        <w:t xml:space="preserve"> pravomoćne sudske presude</w:t>
      </w:r>
      <w:r w:rsidR="008557B2">
        <w:rPr>
          <w:rFonts w:ascii="Times New Roman" w:hAnsi="Times New Roman" w:cs="Times New Roman"/>
          <w:sz w:val="24"/>
          <w:szCs w:val="24"/>
        </w:rPr>
        <w:t xml:space="preserve"> </w:t>
      </w:r>
      <w:r w:rsidR="0084143A">
        <w:rPr>
          <w:rFonts w:ascii="Times New Roman" w:hAnsi="Times New Roman" w:cs="Times New Roman"/>
          <w:sz w:val="24"/>
          <w:szCs w:val="24"/>
        </w:rPr>
        <w:t>koje su</w:t>
      </w:r>
      <w:r w:rsidR="00506312">
        <w:rPr>
          <w:rFonts w:ascii="Times New Roman" w:hAnsi="Times New Roman" w:cs="Times New Roman"/>
          <w:sz w:val="24"/>
          <w:szCs w:val="24"/>
        </w:rPr>
        <w:t xml:space="preserve"> isplaćene </w:t>
      </w:r>
      <w:r w:rsidR="0084143A">
        <w:rPr>
          <w:rFonts w:ascii="Times New Roman" w:hAnsi="Times New Roman" w:cs="Times New Roman"/>
          <w:sz w:val="24"/>
          <w:szCs w:val="24"/>
        </w:rPr>
        <w:t xml:space="preserve"> u 202</w:t>
      </w:r>
      <w:r w:rsidR="008557B2">
        <w:rPr>
          <w:rFonts w:ascii="Times New Roman" w:hAnsi="Times New Roman" w:cs="Times New Roman"/>
          <w:sz w:val="24"/>
          <w:szCs w:val="24"/>
        </w:rPr>
        <w:t>4</w:t>
      </w:r>
      <w:r w:rsidR="0084143A">
        <w:rPr>
          <w:rFonts w:ascii="Times New Roman" w:hAnsi="Times New Roman" w:cs="Times New Roman"/>
          <w:sz w:val="24"/>
          <w:szCs w:val="24"/>
        </w:rPr>
        <w:t>. godini</w:t>
      </w:r>
      <w:r w:rsidR="008557B2">
        <w:rPr>
          <w:rFonts w:ascii="Times New Roman" w:hAnsi="Times New Roman" w:cs="Times New Roman"/>
          <w:sz w:val="24"/>
          <w:szCs w:val="24"/>
        </w:rPr>
        <w:t xml:space="preserve">. </w:t>
      </w:r>
      <w:r w:rsidR="002F7312">
        <w:rPr>
          <w:rFonts w:ascii="Times New Roman" w:hAnsi="Times New Roman" w:cs="Times New Roman"/>
          <w:sz w:val="24"/>
          <w:szCs w:val="24"/>
        </w:rPr>
        <w:t>S ovim isplatama</w:t>
      </w:r>
      <w:r w:rsidR="004D27C2">
        <w:rPr>
          <w:rFonts w:ascii="Times New Roman" w:hAnsi="Times New Roman" w:cs="Times New Roman"/>
          <w:sz w:val="24"/>
          <w:szCs w:val="24"/>
        </w:rPr>
        <w:t>,</w:t>
      </w:r>
      <w:r w:rsidR="00506312">
        <w:rPr>
          <w:rFonts w:ascii="Times New Roman" w:hAnsi="Times New Roman" w:cs="Times New Roman"/>
          <w:sz w:val="24"/>
          <w:szCs w:val="24"/>
        </w:rPr>
        <w:t xml:space="preserve"> svi sudski procesi po osnovu tužbi </w:t>
      </w:r>
      <w:r w:rsidR="004D27C2">
        <w:rPr>
          <w:rFonts w:ascii="Times New Roman" w:hAnsi="Times New Roman" w:cs="Times New Roman"/>
          <w:sz w:val="24"/>
          <w:szCs w:val="24"/>
        </w:rPr>
        <w:t>vezanih za povećanje 6% osnovice koje je Fakultet vodio su završeni.</w:t>
      </w:r>
    </w:p>
    <w:p w14:paraId="6F8000FA" w14:textId="569801A4" w:rsidR="00EB34D2" w:rsidRPr="001A5B94" w:rsidRDefault="00EB34D2" w:rsidP="00EB34D2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K621061 </w:t>
      </w:r>
      <w:r w:rsidR="00686F2E">
        <w:rPr>
          <w:rFonts w:ascii="Times New Roman" w:hAnsi="Times New Roman" w:cs="Times New Roman"/>
          <w:b/>
          <w:sz w:val="28"/>
          <w:szCs w:val="28"/>
        </w:rPr>
        <w:t>Održavanje objekata visokoobrazovnih ustanova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643"/>
        <w:gridCol w:w="1251"/>
        <w:gridCol w:w="1251"/>
        <w:gridCol w:w="1251"/>
        <w:gridCol w:w="1250"/>
        <w:gridCol w:w="1251"/>
        <w:gridCol w:w="1170"/>
      </w:tblGrid>
      <w:tr w:rsidR="0065147C" w:rsidRPr="001A5B94" w14:paraId="12EA05C6" w14:textId="77777777" w:rsidTr="0065147C">
        <w:tc>
          <w:tcPr>
            <w:tcW w:w="1643" w:type="dxa"/>
            <w:shd w:val="clear" w:color="auto" w:fill="D0CECE" w:themeFill="background2" w:themeFillShade="E6"/>
          </w:tcPr>
          <w:p w14:paraId="6678BED3" w14:textId="77777777" w:rsidR="0065147C" w:rsidRPr="001A5B94" w:rsidRDefault="0065147C" w:rsidP="00F523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3D9A37" w14:textId="77777777" w:rsidR="0065147C" w:rsidRPr="001A5B94" w:rsidRDefault="0065147C" w:rsidP="00F523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shd w:val="clear" w:color="auto" w:fill="D0CECE" w:themeFill="background2" w:themeFillShade="E6"/>
            <w:vAlign w:val="center"/>
          </w:tcPr>
          <w:p w14:paraId="73520998" w14:textId="77777777" w:rsidR="0065147C" w:rsidRPr="001A5B94" w:rsidRDefault="0065147C" w:rsidP="00F52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>Izvršenje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1" w:type="dxa"/>
            <w:shd w:val="clear" w:color="auto" w:fill="D0CECE" w:themeFill="background2" w:themeFillShade="E6"/>
            <w:vAlign w:val="center"/>
          </w:tcPr>
          <w:p w14:paraId="2D46EF5A" w14:textId="77777777" w:rsidR="0065147C" w:rsidRPr="001A5B94" w:rsidRDefault="0065147C" w:rsidP="00F52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1" w:type="dxa"/>
            <w:shd w:val="clear" w:color="auto" w:fill="D0CECE" w:themeFill="background2" w:themeFillShade="E6"/>
            <w:vAlign w:val="center"/>
          </w:tcPr>
          <w:p w14:paraId="15590F2A" w14:textId="77777777" w:rsidR="0065147C" w:rsidRPr="001A5B94" w:rsidRDefault="0065147C" w:rsidP="00F52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Rebalans</w:t>
            </w: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0" w:type="dxa"/>
            <w:shd w:val="clear" w:color="auto" w:fill="D0CECE" w:themeFill="background2" w:themeFillShade="E6"/>
            <w:vAlign w:val="center"/>
          </w:tcPr>
          <w:p w14:paraId="14A76BF8" w14:textId="77777777" w:rsidR="0065147C" w:rsidRPr="001A5B94" w:rsidRDefault="0065147C" w:rsidP="00F52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Izvršenje 2025.</w:t>
            </w:r>
          </w:p>
        </w:tc>
        <w:tc>
          <w:tcPr>
            <w:tcW w:w="1251" w:type="dxa"/>
            <w:shd w:val="clear" w:color="auto" w:fill="D0CECE" w:themeFill="background2" w:themeFillShade="E6"/>
            <w:vAlign w:val="center"/>
          </w:tcPr>
          <w:p w14:paraId="75E5B4ED" w14:textId="77777777" w:rsidR="0065147C" w:rsidRPr="001A5B94" w:rsidRDefault="0065147C" w:rsidP="00F52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Indeks </w:t>
            </w:r>
            <w:r w:rsidRPr="00390036">
              <w:rPr>
                <w:rFonts w:ascii="Times New Roman" w:hAnsi="Times New Roman" w:cs="Times New Roman"/>
                <w:sz w:val="20"/>
                <w:szCs w:val="20"/>
              </w:rPr>
              <w:t>5/2*100</w:t>
            </w:r>
          </w:p>
        </w:tc>
        <w:tc>
          <w:tcPr>
            <w:tcW w:w="1170" w:type="dxa"/>
            <w:shd w:val="clear" w:color="auto" w:fill="D0CECE" w:themeFill="background2" w:themeFillShade="E6"/>
            <w:vAlign w:val="center"/>
          </w:tcPr>
          <w:p w14:paraId="085ACBE8" w14:textId="77777777" w:rsidR="0065147C" w:rsidRDefault="0065147C" w:rsidP="00F523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>Indeks</w:t>
            </w:r>
          </w:p>
          <w:p w14:paraId="1E4D34A9" w14:textId="77777777" w:rsidR="0065147C" w:rsidRPr="00390036" w:rsidRDefault="0065147C" w:rsidP="00F523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036">
              <w:rPr>
                <w:rFonts w:ascii="Times New Roman" w:hAnsi="Times New Roman" w:cs="Times New Roman"/>
                <w:sz w:val="20"/>
                <w:szCs w:val="20"/>
              </w:rPr>
              <w:t>5/4*100</w:t>
            </w:r>
          </w:p>
        </w:tc>
      </w:tr>
      <w:tr w:rsidR="0065147C" w:rsidRPr="001A5B94" w14:paraId="0420E418" w14:textId="77777777" w:rsidTr="004264E0">
        <w:trPr>
          <w:trHeight w:val="58"/>
        </w:trPr>
        <w:tc>
          <w:tcPr>
            <w:tcW w:w="1643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36EC3042" w14:textId="77777777" w:rsidR="0065147C" w:rsidRPr="00390036" w:rsidRDefault="0065147C" w:rsidP="00F523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03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E0417B7" w14:textId="77777777" w:rsidR="0065147C" w:rsidRPr="00390036" w:rsidRDefault="0065147C" w:rsidP="00F523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03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E0E82C0" w14:textId="77777777" w:rsidR="0065147C" w:rsidRPr="00390036" w:rsidRDefault="0065147C" w:rsidP="00F523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03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DBACD3A" w14:textId="77777777" w:rsidR="0065147C" w:rsidRPr="00390036" w:rsidRDefault="0065147C" w:rsidP="00F523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03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25FFCDD" w14:textId="77777777" w:rsidR="0065147C" w:rsidRPr="00390036" w:rsidRDefault="0065147C" w:rsidP="00F523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03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7749F79" w14:textId="77777777" w:rsidR="0065147C" w:rsidRPr="00390036" w:rsidRDefault="0065147C" w:rsidP="00F523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03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016C219" w14:textId="77777777" w:rsidR="0065147C" w:rsidRPr="00390036" w:rsidRDefault="0065147C" w:rsidP="00F523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03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65147C" w:rsidRPr="001A5B94" w14:paraId="1BCA053A" w14:textId="77777777" w:rsidTr="004264E0">
        <w:trPr>
          <w:trHeight w:val="612"/>
        </w:trPr>
        <w:tc>
          <w:tcPr>
            <w:tcW w:w="1643" w:type="dxa"/>
            <w:shd w:val="clear" w:color="auto" w:fill="FFFFFF" w:themeFill="background1"/>
            <w:vAlign w:val="center"/>
          </w:tcPr>
          <w:p w14:paraId="71108B31" w14:textId="536D2F46" w:rsidR="0065147C" w:rsidRPr="00390036" w:rsidRDefault="004264E0" w:rsidP="004264E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4264E0">
              <w:rPr>
                <w:rFonts w:ascii="Times New Roman" w:hAnsi="Times New Roman" w:cs="Times New Roman"/>
                <w:sz w:val="24"/>
                <w:szCs w:val="24"/>
              </w:rPr>
              <w:t>K621061</w:t>
            </w:r>
          </w:p>
        </w:tc>
        <w:tc>
          <w:tcPr>
            <w:tcW w:w="1251" w:type="dxa"/>
            <w:shd w:val="clear" w:color="auto" w:fill="FFFFFF" w:themeFill="background1"/>
            <w:vAlign w:val="center"/>
          </w:tcPr>
          <w:p w14:paraId="22B8D090" w14:textId="6B6A49EB" w:rsidR="0065147C" w:rsidRPr="00390036" w:rsidRDefault="004264E0" w:rsidP="004264E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51" w:type="dxa"/>
            <w:shd w:val="clear" w:color="auto" w:fill="FFFFFF" w:themeFill="background1"/>
            <w:vAlign w:val="center"/>
          </w:tcPr>
          <w:p w14:paraId="2725DE3C" w14:textId="57AFBBB9" w:rsidR="0065147C" w:rsidRPr="00777540" w:rsidRDefault="004264E0" w:rsidP="004264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1" w:type="dxa"/>
            <w:shd w:val="clear" w:color="auto" w:fill="FFFFFF" w:themeFill="background1"/>
            <w:vAlign w:val="center"/>
          </w:tcPr>
          <w:p w14:paraId="72CB66EE" w14:textId="305CC420" w:rsidR="0065147C" w:rsidRPr="00777540" w:rsidRDefault="0040736C" w:rsidP="004264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77540">
              <w:rPr>
                <w:rFonts w:ascii="Times New Roman" w:hAnsi="Times New Roman" w:cs="Times New Roman"/>
                <w:sz w:val="24"/>
                <w:szCs w:val="24"/>
              </w:rPr>
              <w:t>188.09</w:t>
            </w:r>
            <w:r w:rsidR="00686F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38AF14" w14:textId="37BF164E" w:rsidR="0065147C" w:rsidRPr="00777540" w:rsidRDefault="0040736C" w:rsidP="004264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77540">
              <w:rPr>
                <w:rFonts w:ascii="Times New Roman" w:hAnsi="Times New Roman" w:cs="Times New Roman"/>
                <w:sz w:val="24"/>
                <w:szCs w:val="24"/>
              </w:rPr>
              <w:t>188.09</w:t>
            </w:r>
            <w:r w:rsidR="00686F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A13410" w14:textId="0BC1912F" w:rsidR="0065147C" w:rsidRPr="00777540" w:rsidRDefault="004264E0" w:rsidP="004264E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56FA37" w14:textId="7BF3E100" w:rsidR="0065147C" w:rsidRPr="00390036" w:rsidRDefault="004264E0" w:rsidP="004264E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</w:tr>
    </w:tbl>
    <w:p w14:paraId="56C68D4A" w14:textId="544382B5" w:rsidR="0065147C" w:rsidRDefault="0065147C" w:rsidP="00ED476D">
      <w:pPr>
        <w:jc w:val="both"/>
        <w:rPr>
          <w:rFonts w:ascii="Times New Roman" w:hAnsi="Times New Roman" w:cs="Times New Roman"/>
          <w:sz w:val="24"/>
          <w:szCs w:val="24"/>
        </w:rPr>
      </w:pPr>
      <w:r w:rsidRPr="0065147C">
        <w:rPr>
          <w:rFonts w:ascii="Times New Roman" w:hAnsi="Times New Roman" w:cs="Times New Roman"/>
          <w:sz w:val="24"/>
          <w:szCs w:val="24"/>
        </w:rPr>
        <w:t xml:space="preserve">Unutar ove aktivnosti </w:t>
      </w:r>
      <w:r w:rsidR="00AC6F45">
        <w:rPr>
          <w:rFonts w:ascii="Times New Roman" w:hAnsi="Times New Roman" w:cs="Times New Roman"/>
          <w:sz w:val="24"/>
          <w:szCs w:val="24"/>
        </w:rPr>
        <w:t>izvršena</w:t>
      </w:r>
      <w:r w:rsidRPr="0065147C">
        <w:rPr>
          <w:rFonts w:ascii="Times New Roman" w:hAnsi="Times New Roman" w:cs="Times New Roman"/>
          <w:sz w:val="24"/>
          <w:szCs w:val="24"/>
        </w:rPr>
        <w:t xml:space="preserve"> su sredstva na temelju Sporazuma o međusobnoj suradnji u osiguravanju kontinuirane, pravilne i potpune primjene međunarodne Konvencije o standardima izobrazbe, izdavanja svjedodžbi i držanju straže pomoraca između Ministarstva mora, prometa i infrastrukture (MMPI) i Ministarstva znanosti, obrazovanja i mladih (MZOM), a koja </w:t>
      </w:r>
      <w:r w:rsidR="004264E0">
        <w:rPr>
          <w:rFonts w:ascii="Times New Roman" w:hAnsi="Times New Roman" w:cs="Times New Roman"/>
          <w:sz w:val="24"/>
          <w:szCs w:val="24"/>
        </w:rPr>
        <w:t xml:space="preserve">je </w:t>
      </w:r>
      <w:r w:rsidRPr="0065147C">
        <w:rPr>
          <w:rFonts w:ascii="Times New Roman" w:hAnsi="Times New Roman" w:cs="Times New Roman"/>
          <w:sz w:val="24"/>
          <w:szCs w:val="24"/>
        </w:rPr>
        <w:t>MZOM doznač</w:t>
      </w:r>
      <w:r w:rsidR="004264E0">
        <w:rPr>
          <w:rFonts w:ascii="Times New Roman" w:hAnsi="Times New Roman" w:cs="Times New Roman"/>
          <w:sz w:val="24"/>
          <w:szCs w:val="24"/>
        </w:rPr>
        <w:t>io</w:t>
      </w:r>
      <w:r w:rsidRPr="0065147C">
        <w:rPr>
          <w:rFonts w:ascii="Times New Roman" w:hAnsi="Times New Roman" w:cs="Times New Roman"/>
          <w:sz w:val="24"/>
          <w:szCs w:val="24"/>
        </w:rPr>
        <w:t xml:space="preserve"> Fakultetu u iznosu 188.093 EUR</w:t>
      </w:r>
      <w:r w:rsidR="004264E0">
        <w:rPr>
          <w:rFonts w:ascii="Times New Roman" w:hAnsi="Times New Roman" w:cs="Times New Roman"/>
          <w:sz w:val="24"/>
          <w:szCs w:val="24"/>
        </w:rPr>
        <w:t xml:space="preserve">. Sredstva su utrošena za </w:t>
      </w:r>
      <w:r w:rsidRPr="0065147C">
        <w:rPr>
          <w:rFonts w:ascii="Times New Roman" w:hAnsi="Times New Roman" w:cs="Times New Roman"/>
          <w:sz w:val="24"/>
          <w:szCs w:val="24"/>
        </w:rPr>
        <w:t xml:space="preserve"> nadogradnj</w:t>
      </w:r>
      <w:r w:rsidR="004264E0">
        <w:rPr>
          <w:rFonts w:ascii="Times New Roman" w:hAnsi="Times New Roman" w:cs="Times New Roman"/>
          <w:sz w:val="24"/>
          <w:szCs w:val="24"/>
        </w:rPr>
        <w:t>u</w:t>
      </w:r>
      <w:r w:rsidRPr="0065147C">
        <w:rPr>
          <w:rFonts w:ascii="Times New Roman" w:hAnsi="Times New Roman" w:cs="Times New Roman"/>
          <w:sz w:val="24"/>
          <w:szCs w:val="24"/>
        </w:rPr>
        <w:t xml:space="preserve"> GDMSS programske simulatorske podrške i nabavi sklopovske simulatorske opreme za nadogradnju navigacijskog simulatora u ukupnom iznosu 188.093 EUR.</w:t>
      </w:r>
      <w:r w:rsidR="008732D5">
        <w:rPr>
          <w:rFonts w:ascii="Times New Roman" w:hAnsi="Times New Roman" w:cs="Times New Roman"/>
          <w:sz w:val="24"/>
          <w:szCs w:val="24"/>
        </w:rPr>
        <w:t xml:space="preserve"> </w:t>
      </w:r>
      <w:r w:rsidR="008732D5" w:rsidRPr="008732D5">
        <w:rPr>
          <w:rFonts w:ascii="Times New Roman" w:hAnsi="Times New Roman" w:cs="Times New Roman"/>
          <w:sz w:val="24"/>
          <w:szCs w:val="24"/>
        </w:rPr>
        <w:t>Ovi rashodi izvrš</w:t>
      </w:r>
      <w:r w:rsidR="008732D5">
        <w:rPr>
          <w:rFonts w:ascii="Times New Roman" w:hAnsi="Times New Roman" w:cs="Times New Roman"/>
          <w:sz w:val="24"/>
          <w:szCs w:val="24"/>
        </w:rPr>
        <w:t xml:space="preserve">eni su </w:t>
      </w:r>
      <w:r w:rsidR="008732D5" w:rsidRPr="008732D5">
        <w:rPr>
          <w:rFonts w:ascii="Times New Roman" w:hAnsi="Times New Roman" w:cs="Times New Roman"/>
          <w:sz w:val="24"/>
          <w:szCs w:val="24"/>
        </w:rPr>
        <w:t xml:space="preserve">na izvoru financiranja </w:t>
      </w:r>
      <w:r w:rsidR="008732D5">
        <w:rPr>
          <w:rFonts w:ascii="Times New Roman" w:hAnsi="Times New Roman" w:cs="Times New Roman"/>
          <w:sz w:val="24"/>
          <w:szCs w:val="24"/>
        </w:rPr>
        <w:t>52 – Ostale pomoći sukladno obavijesti MZOM-a.</w:t>
      </w:r>
    </w:p>
    <w:p w14:paraId="240E4FEB" w14:textId="77777777" w:rsidR="0041323D" w:rsidRPr="001A5B94" w:rsidRDefault="0041323D" w:rsidP="0041323D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6" w:name="_Hlk223612077"/>
      <w:bookmarkEnd w:id="6"/>
      <w:r w:rsidRPr="001A5B94">
        <w:rPr>
          <w:rFonts w:ascii="Times New Roman" w:hAnsi="Times New Roman" w:cs="Times New Roman"/>
          <w:b/>
          <w:sz w:val="28"/>
          <w:szCs w:val="28"/>
        </w:rPr>
        <w:t>A679089 Redovna djelatnost Sveučilišta u Rijeci (iz evidencijskih prihoda)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3"/>
        <w:gridCol w:w="1251"/>
        <w:gridCol w:w="1251"/>
        <w:gridCol w:w="1251"/>
        <w:gridCol w:w="1250"/>
        <w:gridCol w:w="1251"/>
        <w:gridCol w:w="1165"/>
      </w:tblGrid>
      <w:tr w:rsidR="005A0ABE" w:rsidRPr="001A5B94" w14:paraId="596A0236" w14:textId="77777777" w:rsidTr="00D02775">
        <w:tc>
          <w:tcPr>
            <w:tcW w:w="1643" w:type="dxa"/>
            <w:shd w:val="clear" w:color="auto" w:fill="D0CECE" w:themeFill="background2" w:themeFillShade="E6"/>
          </w:tcPr>
          <w:p w14:paraId="541CB4ED" w14:textId="77777777" w:rsidR="005A0ABE" w:rsidRPr="001A5B94" w:rsidRDefault="005A0ABE" w:rsidP="005A0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_Hlk53750867"/>
            <w:bookmarkStart w:id="18" w:name="_Hlk158280404"/>
            <w:bookmarkEnd w:id="16"/>
          </w:p>
          <w:p w14:paraId="6C55B7AB" w14:textId="77777777" w:rsidR="005A0ABE" w:rsidRPr="001A5B94" w:rsidRDefault="005A0ABE" w:rsidP="005A0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shd w:val="clear" w:color="auto" w:fill="D0CECE" w:themeFill="background2" w:themeFillShade="E6"/>
            <w:vAlign w:val="center"/>
          </w:tcPr>
          <w:p w14:paraId="2F741794" w14:textId="309BFD35" w:rsidR="005A0ABE" w:rsidRPr="001A5B94" w:rsidRDefault="005A0ABE" w:rsidP="005A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>Izvršenje 202</w:t>
            </w:r>
            <w:r w:rsidR="006514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1" w:type="dxa"/>
            <w:shd w:val="clear" w:color="auto" w:fill="D0CECE" w:themeFill="background2" w:themeFillShade="E6"/>
            <w:vAlign w:val="center"/>
          </w:tcPr>
          <w:p w14:paraId="13B9575E" w14:textId="1A7982A4" w:rsidR="005A0ABE" w:rsidRPr="001A5B94" w:rsidRDefault="005A0ABE" w:rsidP="005A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6514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1" w:type="dxa"/>
            <w:shd w:val="clear" w:color="auto" w:fill="D0CECE" w:themeFill="background2" w:themeFillShade="E6"/>
            <w:vAlign w:val="center"/>
          </w:tcPr>
          <w:p w14:paraId="48597961" w14:textId="7EC3ADE4" w:rsidR="005A0ABE" w:rsidRPr="001A5B94" w:rsidRDefault="005A0ABE" w:rsidP="005A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Rebalans</w:t>
            </w: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6514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0" w:type="dxa"/>
            <w:shd w:val="clear" w:color="auto" w:fill="D0CECE" w:themeFill="background2" w:themeFillShade="E6"/>
            <w:vAlign w:val="center"/>
          </w:tcPr>
          <w:p w14:paraId="2B925BFA" w14:textId="0A145981" w:rsidR="005A0ABE" w:rsidRPr="001A5B94" w:rsidRDefault="005A0ABE" w:rsidP="005A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Izvršenje 202</w:t>
            </w:r>
            <w:r w:rsidR="006514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1" w:type="dxa"/>
            <w:shd w:val="clear" w:color="auto" w:fill="D0CECE" w:themeFill="background2" w:themeFillShade="E6"/>
            <w:vAlign w:val="center"/>
          </w:tcPr>
          <w:p w14:paraId="28DF4237" w14:textId="77777777" w:rsidR="005A0ABE" w:rsidRPr="001A5B94" w:rsidRDefault="005A0ABE" w:rsidP="005A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Indeks </w:t>
            </w:r>
            <w:r w:rsidRPr="00390036">
              <w:rPr>
                <w:rFonts w:ascii="Times New Roman" w:hAnsi="Times New Roman" w:cs="Times New Roman"/>
                <w:sz w:val="20"/>
                <w:szCs w:val="20"/>
              </w:rPr>
              <w:t>5/2*100</w:t>
            </w:r>
          </w:p>
        </w:tc>
        <w:tc>
          <w:tcPr>
            <w:tcW w:w="1165" w:type="dxa"/>
            <w:shd w:val="clear" w:color="auto" w:fill="D0CECE" w:themeFill="background2" w:themeFillShade="E6"/>
            <w:vAlign w:val="center"/>
          </w:tcPr>
          <w:p w14:paraId="17FBFAE5" w14:textId="77777777" w:rsidR="005A0ABE" w:rsidRDefault="005A0ABE" w:rsidP="005A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>Indeks</w:t>
            </w:r>
          </w:p>
          <w:p w14:paraId="38D4DE89" w14:textId="77777777" w:rsidR="005A0ABE" w:rsidRPr="00390036" w:rsidRDefault="005A0ABE" w:rsidP="005A0A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036">
              <w:rPr>
                <w:rFonts w:ascii="Times New Roman" w:hAnsi="Times New Roman" w:cs="Times New Roman"/>
                <w:sz w:val="20"/>
                <w:szCs w:val="20"/>
              </w:rPr>
              <w:t>5/4*100</w:t>
            </w:r>
          </w:p>
        </w:tc>
      </w:tr>
      <w:tr w:rsidR="00390036" w:rsidRPr="001A5B94" w14:paraId="4F436BF6" w14:textId="77777777" w:rsidTr="00D02775">
        <w:trPr>
          <w:trHeight w:val="58"/>
        </w:trPr>
        <w:tc>
          <w:tcPr>
            <w:tcW w:w="1643" w:type="dxa"/>
            <w:shd w:val="clear" w:color="auto" w:fill="D0CECE" w:themeFill="background2" w:themeFillShade="E6"/>
          </w:tcPr>
          <w:p w14:paraId="52E3C6A8" w14:textId="77777777" w:rsidR="00390036" w:rsidRPr="00390036" w:rsidRDefault="00390036" w:rsidP="00D02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03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1" w:type="dxa"/>
            <w:shd w:val="clear" w:color="auto" w:fill="D0CECE" w:themeFill="background2" w:themeFillShade="E6"/>
            <w:vAlign w:val="center"/>
          </w:tcPr>
          <w:p w14:paraId="0748EA3C" w14:textId="77777777" w:rsidR="00390036" w:rsidRPr="00390036" w:rsidRDefault="00390036" w:rsidP="00D02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03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51" w:type="dxa"/>
            <w:shd w:val="clear" w:color="auto" w:fill="D0CECE" w:themeFill="background2" w:themeFillShade="E6"/>
            <w:vAlign w:val="center"/>
          </w:tcPr>
          <w:p w14:paraId="134EB30D" w14:textId="77777777" w:rsidR="00390036" w:rsidRPr="00390036" w:rsidRDefault="00390036" w:rsidP="00D02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03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51" w:type="dxa"/>
            <w:shd w:val="clear" w:color="auto" w:fill="D0CECE" w:themeFill="background2" w:themeFillShade="E6"/>
            <w:vAlign w:val="center"/>
          </w:tcPr>
          <w:p w14:paraId="4D37B67D" w14:textId="77777777" w:rsidR="00390036" w:rsidRPr="00390036" w:rsidRDefault="00390036" w:rsidP="00D02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03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50" w:type="dxa"/>
            <w:shd w:val="clear" w:color="auto" w:fill="D0CECE" w:themeFill="background2" w:themeFillShade="E6"/>
            <w:vAlign w:val="center"/>
          </w:tcPr>
          <w:p w14:paraId="6D60BF29" w14:textId="77777777" w:rsidR="00390036" w:rsidRPr="00390036" w:rsidRDefault="00390036" w:rsidP="00D02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03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51" w:type="dxa"/>
            <w:shd w:val="clear" w:color="auto" w:fill="D0CECE" w:themeFill="background2" w:themeFillShade="E6"/>
            <w:vAlign w:val="center"/>
          </w:tcPr>
          <w:p w14:paraId="33927B5C" w14:textId="77777777" w:rsidR="00390036" w:rsidRPr="00390036" w:rsidRDefault="00390036" w:rsidP="00D02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03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65" w:type="dxa"/>
            <w:shd w:val="clear" w:color="auto" w:fill="D0CECE" w:themeFill="background2" w:themeFillShade="E6"/>
            <w:vAlign w:val="center"/>
          </w:tcPr>
          <w:p w14:paraId="15934ED1" w14:textId="77777777" w:rsidR="00390036" w:rsidRPr="00390036" w:rsidRDefault="00390036" w:rsidP="00D02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03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EB34D2" w:rsidRPr="001A5B94" w14:paraId="52D0D35B" w14:textId="77777777" w:rsidTr="00D02775">
        <w:tc>
          <w:tcPr>
            <w:tcW w:w="1643" w:type="dxa"/>
          </w:tcPr>
          <w:p w14:paraId="68919382" w14:textId="77777777" w:rsidR="00EB34D2" w:rsidRPr="001A5B94" w:rsidRDefault="00EB34D2" w:rsidP="00EB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>A679089</w:t>
            </w:r>
          </w:p>
        </w:tc>
        <w:tc>
          <w:tcPr>
            <w:tcW w:w="1251" w:type="dxa"/>
          </w:tcPr>
          <w:p w14:paraId="33D4C595" w14:textId="5997B9D4" w:rsidR="00EB34D2" w:rsidRPr="001A5B94" w:rsidRDefault="00EB34D2" w:rsidP="00EB34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654">
              <w:rPr>
                <w:rFonts w:ascii="Times New Roman" w:hAnsi="Times New Roman" w:cs="Times New Roman"/>
                <w:sz w:val="24"/>
                <w:szCs w:val="24"/>
              </w:rPr>
              <w:t>1.898.98</w:t>
            </w:r>
            <w:r w:rsidR="00686F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51" w:type="dxa"/>
          </w:tcPr>
          <w:p w14:paraId="04ACB96D" w14:textId="0A80B39B" w:rsidR="00EB34D2" w:rsidRPr="001A5B94" w:rsidRDefault="00EB34D2" w:rsidP="00EB34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4D2">
              <w:rPr>
                <w:rFonts w:ascii="Times New Roman" w:hAnsi="Times New Roman" w:cs="Times New Roman"/>
                <w:sz w:val="24"/>
                <w:szCs w:val="24"/>
              </w:rPr>
              <w:t>1.668.586</w:t>
            </w:r>
          </w:p>
        </w:tc>
        <w:tc>
          <w:tcPr>
            <w:tcW w:w="1251" w:type="dxa"/>
          </w:tcPr>
          <w:p w14:paraId="71524B55" w14:textId="0676FD1C" w:rsidR="00EB34D2" w:rsidRPr="001A5B94" w:rsidRDefault="00EB34D2" w:rsidP="00EB34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4D2">
              <w:rPr>
                <w:rFonts w:ascii="Times New Roman" w:hAnsi="Times New Roman" w:cs="Times New Roman"/>
                <w:sz w:val="24"/>
                <w:szCs w:val="24"/>
              </w:rPr>
              <w:t>1.605.304</w:t>
            </w:r>
          </w:p>
        </w:tc>
        <w:tc>
          <w:tcPr>
            <w:tcW w:w="1250" w:type="dxa"/>
          </w:tcPr>
          <w:p w14:paraId="7D20F9AE" w14:textId="51DCED03" w:rsidR="00EB34D2" w:rsidRPr="001A5B94" w:rsidRDefault="00EB34D2" w:rsidP="00EB34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4D2">
              <w:rPr>
                <w:rFonts w:ascii="Times New Roman" w:hAnsi="Times New Roman" w:cs="Times New Roman"/>
                <w:sz w:val="24"/>
                <w:szCs w:val="24"/>
              </w:rPr>
              <w:t>1.637.655</w:t>
            </w:r>
          </w:p>
        </w:tc>
        <w:tc>
          <w:tcPr>
            <w:tcW w:w="1251" w:type="dxa"/>
          </w:tcPr>
          <w:p w14:paraId="75178783" w14:textId="3D0C98A9" w:rsidR="00EB34D2" w:rsidRPr="001A5B94" w:rsidRDefault="00EB34D2" w:rsidP="00EB34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86,23</w:t>
            </w:r>
          </w:p>
        </w:tc>
        <w:tc>
          <w:tcPr>
            <w:tcW w:w="1165" w:type="dxa"/>
          </w:tcPr>
          <w:p w14:paraId="22B69DCF" w14:textId="485BD85A" w:rsidR="00EB34D2" w:rsidRPr="001A5B94" w:rsidRDefault="00EB34D2" w:rsidP="00EB34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102,01</w:t>
            </w:r>
          </w:p>
        </w:tc>
      </w:tr>
    </w:tbl>
    <w:p w14:paraId="30493D00" w14:textId="1222014D" w:rsidR="00DE2EFF" w:rsidRPr="00DE2EFF" w:rsidRDefault="000D147C" w:rsidP="00DE2EF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9" w:name="_Hlk53753711"/>
      <w:bookmarkEnd w:id="17"/>
      <w:bookmarkEnd w:id="18"/>
      <w:r>
        <w:rPr>
          <w:rFonts w:ascii="Times New Roman" w:hAnsi="Times New Roman" w:cs="Times New Roman"/>
          <w:i/>
          <w:sz w:val="24"/>
          <w:szCs w:val="24"/>
        </w:rPr>
        <w:t xml:space="preserve">Ova aktivnost izvršena je </w:t>
      </w:r>
      <w:r w:rsidR="00EB34D2">
        <w:rPr>
          <w:rFonts w:ascii="Times New Roman" w:hAnsi="Times New Roman" w:cs="Times New Roman"/>
          <w:i/>
          <w:sz w:val="24"/>
          <w:szCs w:val="24"/>
        </w:rPr>
        <w:t>102,01</w:t>
      </w:r>
      <w:r w:rsidR="001F73FC">
        <w:rPr>
          <w:rFonts w:ascii="Times New Roman" w:hAnsi="Times New Roman" w:cs="Times New Roman"/>
          <w:i/>
          <w:sz w:val="24"/>
          <w:szCs w:val="24"/>
        </w:rPr>
        <w:t>% u odnosu na tekući plan za 202</w:t>
      </w:r>
      <w:r w:rsidR="00EB34D2">
        <w:rPr>
          <w:rFonts w:ascii="Times New Roman" w:hAnsi="Times New Roman" w:cs="Times New Roman"/>
          <w:i/>
          <w:sz w:val="24"/>
          <w:szCs w:val="24"/>
        </w:rPr>
        <w:t>5</w:t>
      </w:r>
      <w:r w:rsidR="001F73FC">
        <w:rPr>
          <w:rFonts w:ascii="Times New Roman" w:hAnsi="Times New Roman" w:cs="Times New Roman"/>
          <w:i/>
          <w:sz w:val="24"/>
          <w:szCs w:val="24"/>
        </w:rPr>
        <w:t xml:space="preserve">. godinu, a sastoji se od </w:t>
      </w:r>
      <w:r w:rsidR="00DE2EFF" w:rsidRPr="00DE2EFF">
        <w:rPr>
          <w:rFonts w:ascii="Times New Roman" w:hAnsi="Times New Roman" w:cs="Times New Roman"/>
          <w:i/>
          <w:sz w:val="24"/>
          <w:szCs w:val="24"/>
        </w:rPr>
        <w:t>sljedećih podaktivnosti</w:t>
      </w:r>
      <w:r w:rsidR="00DE2EFF" w:rsidRPr="00DE2EFF">
        <w:rPr>
          <w:rFonts w:ascii="Times New Roman" w:hAnsi="Times New Roman" w:cs="Times New Roman"/>
          <w:sz w:val="24"/>
          <w:szCs w:val="24"/>
        </w:rPr>
        <w:t>:</w:t>
      </w:r>
    </w:p>
    <w:p w14:paraId="04B5F4E8" w14:textId="77777777" w:rsidR="00DE2EFF" w:rsidRPr="00DE2EFF" w:rsidRDefault="00DE2EFF" w:rsidP="00DE2EFF">
      <w:pPr>
        <w:numPr>
          <w:ilvl w:val="0"/>
          <w:numId w:val="19"/>
        </w:numPr>
        <w:spacing w:after="0" w:line="240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2EFF">
        <w:rPr>
          <w:rFonts w:ascii="Times New Roman" w:hAnsi="Times New Roman" w:cs="Times New Roman"/>
          <w:sz w:val="24"/>
          <w:szCs w:val="24"/>
        </w:rPr>
        <w:lastRenderedPageBreak/>
        <w:t>Osnovna djelatnosti – participacija školarina</w:t>
      </w:r>
    </w:p>
    <w:p w14:paraId="53811BD5" w14:textId="77777777" w:rsidR="00DE2EFF" w:rsidRPr="00DE2EFF" w:rsidRDefault="00DE2EFF" w:rsidP="00DE2EFF">
      <w:pPr>
        <w:numPr>
          <w:ilvl w:val="0"/>
          <w:numId w:val="19"/>
        </w:numPr>
        <w:spacing w:after="0" w:line="240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2EFF">
        <w:rPr>
          <w:rFonts w:ascii="Times New Roman" w:hAnsi="Times New Roman" w:cs="Times New Roman"/>
          <w:sz w:val="24"/>
          <w:szCs w:val="24"/>
        </w:rPr>
        <w:t xml:space="preserve">Poslijediplomski studij „Pomorstvo“ </w:t>
      </w:r>
    </w:p>
    <w:p w14:paraId="1B159306" w14:textId="77777777" w:rsidR="00DE2EFF" w:rsidRPr="00DE2EFF" w:rsidRDefault="00DE2EFF" w:rsidP="00DE2EFF">
      <w:pPr>
        <w:numPr>
          <w:ilvl w:val="0"/>
          <w:numId w:val="19"/>
        </w:numPr>
        <w:spacing w:after="0" w:line="240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2EFF">
        <w:rPr>
          <w:rFonts w:ascii="Times New Roman" w:hAnsi="Times New Roman" w:cs="Times New Roman"/>
          <w:sz w:val="24"/>
          <w:szCs w:val="24"/>
        </w:rPr>
        <w:t xml:space="preserve">Programi cjeloživotnog obrazovanja – tečajevi i  poseban program izobrazbe za pomorce </w:t>
      </w:r>
    </w:p>
    <w:p w14:paraId="25B5FC16" w14:textId="77777777" w:rsidR="00DE2EFF" w:rsidRPr="00DE2EFF" w:rsidRDefault="00DE2EFF" w:rsidP="00DE2EFF">
      <w:pPr>
        <w:numPr>
          <w:ilvl w:val="0"/>
          <w:numId w:val="19"/>
        </w:numPr>
        <w:spacing w:after="0" w:line="240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2EFF">
        <w:rPr>
          <w:rFonts w:ascii="Times New Roman" w:hAnsi="Times New Roman" w:cs="Times New Roman"/>
          <w:sz w:val="24"/>
          <w:szCs w:val="24"/>
        </w:rPr>
        <w:t xml:space="preserve">Stručna djelatnost – projekti za gospodarstvo </w:t>
      </w:r>
    </w:p>
    <w:p w14:paraId="5194A697" w14:textId="77777777" w:rsidR="00DE2EFF" w:rsidRPr="00DE2EFF" w:rsidRDefault="00DE2EFF" w:rsidP="00DE2EFF">
      <w:pPr>
        <w:numPr>
          <w:ilvl w:val="0"/>
          <w:numId w:val="19"/>
        </w:numPr>
        <w:spacing w:after="0" w:line="240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2EFF">
        <w:rPr>
          <w:rFonts w:ascii="Times New Roman" w:hAnsi="Times New Roman" w:cs="Times New Roman"/>
          <w:sz w:val="24"/>
          <w:szCs w:val="24"/>
        </w:rPr>
        <w:t>Rad Studentskog zbora</w:t>
      </w:r>
    </w:p>
    <w:p w14:paraId="4EC7DD73" w14:textId="77777777" w:rsidR="00DE2EFF" w:rsidRPr="00DE2EFF" w:rsidRDefault="00DE2EFF" w:rsidP="00DE2EFF">
      <w:pPr>
        <w:numPr>
          <w:ilvl w:val="0"/>
          <w:numId w:val="19"/>
        </w:numPr>
        <w:spacing w:after="0" w:line="240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2EFF">
        <w:rPr>
          <w:rFonts w:ascii="Times New Roman" w:hAnsi="Times New Roman" w:cs="Times New Roman"/>
          <w:sz w:val="24"/>
          <w:szCs w:val="24"/>
        </w:rPr>
        <w:t xml:space="preserve">Programi znanstveno-istraživačke djelatnosti </w:t>
      </w:r>
    </w:p>
    <w:p w14:paraId="38DB1E59" w14:textId="77777777" w:rsidR="00DE2EFF" w:rsidRPr="00DE2EFF" w:rsidRDefault="00DE2EFF" w:rsidP="00DE2EFF">
      <w:pPr>
        <w:numPr>
          <w:ilvl w:val="0"/>
          <w:numId w:val="19"/>
        </w:numPr>
        <w:spacing w:after="0" w:line="240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2EFF">
        <w:rPr>
          <w:rFonts w:ascii="Times New Roman" w:hAnsi="Times New Roman" w:cs="Times New Roman"/>
          <w:sz w:val="24"/>
          <w:szCs w:val="24"/>
        </w:rPr>
        <w:t xml:space="preserve">Izdavanje znanstvenih udžbenika </w:t>
      </w:r>
    </w:p>
    <w:p w14:paraId="4927FF3E" w14:textId="77777777" w:rsidR="00DE2EFF" w:rsidRDefault="00DE2EFF" w:rsidP="00DE2EFF">
      <w:pPr>
        <w:numPr>
          <w:ilvl w:val="0"/>
          <w:numId w:val="19"/>
        </w:numPr>
        <w:spacing w:after="0" w:line="240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2EFF">
        <w:rPr>
          <w:rFonts w:ascii="Times New Roman" w:hAnsi="Times New Roman" w:cs="Times New Roman"/>
          <w:sz w:val="24"/>
          <w:szCs w:val="24"/>
        </w:rPr>
        <w:t xml:space="preserve">Izdavanje časopisa „Pomorstvo“ </w:t>
      </w:r>
    </w:p>
    <w:p w14:paraId="6685D549" w14:textId="1DBA32B5" w:rsidR="00AC6F45" w:rsidRPr="00DE2EFF" w:rsidRDefault="00AC6F45" w:rsidP="00DE2EFF">
      <w:pPr>
        <w:numPr>
          <w:ilvl w:val="0"/>
          <w:numId w:val="19"/>
        </w:numPr>
        <w:spacing w:after="0" w:line="240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Organiziranje znanstvenih konferencija</w:t>
      </w:r>
    </w:p>
    <w:p w14:paraId="1E77CF3B" w14:textId="77777777" w:rsidR="00DE2EFF" w:rsidRDefault="00DE2EFF" w:rsidP="00DE2EFF">
      <w:pPr>
        <w:numPr>
          <w:ilvl w:val="0"/>
          <w:numId w:val="19"/>
        </w:numPr>
        <w:spacing w:after="0" w:line="240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2EFF">
        <w:rPr>
          <w:rFonts w:ascii="Times New Roman" w:hAnsi="Times New Roman" w:cs="Times New Roman"/>
          <w:sz w:val="24"/>
          <w:szCs w:val="24"/>
        </w:rPr>
        <w:t>Ostale nespomenute podaktivnosti.</w:t>
      </w:r>
    </w:p>
    <w:p w14:paraId="7555DEE0" w14:textId="77777777" w:rsidR="00DE2EFF" w:rsidRDefault="00DE2EFF" w:rsidP="00DE2EF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542C69" w14:textId="218812E1" w:rsidR="00DE2EFF" w:rsidRPr="00DE2EFF" w:rsidRDefault="00DE2EFF" w:rsidP="00DE2E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E2EFF">
        <w:rPr>
          <w:rFonts w:ascii="Times New Roman" w:hAnsi="Times New Roman" w:cs="Times New Roman"/>
          <w:b/>
          <w:sz w:val="24"/>
          <w:szCs w:val="24"/>
        </w:rPr>
        <w:t>1.</w:t>
      </w:r>
      <w:r w:rsidRPr="00DE2EFF">
        <w:rPr>
          <w:rFonts w:ascii="Times New Roman" w:hAnsi="Times New Roman" w:cs="Times New Roman"/>
          <w:sz w:val="24"/>
          <w:szCs w:val="24"/>
        </w:rPr>
        <w:tab/>
      </w:r>
      <w:r w:rsidRPr="00DE2EFF">
        <w:rPr>
          <w:rFonts w:ascii="Times New Roman" w:hAnsi="Times New Roman" w:cs="Times New Roman"/>
          <w:b/>
          <w:sz w:val="24"/>
          <w:szCs w:val="24"/>
        </w:rPr>
        <w:t>Osnovna djelatnost – participacija školarina i ostalih s njima povezanih</w:t>
      </w:r>
      <w:r w:rsidR="00AC6F45">
        <w:rPr>
          <w:rFonts w:ascii="Times New Roman" w:hAnsi="Times New Roman" w:cs="Times New Roman"/>
          <w:b/>
          <w:sz w:val="24"/>
          <w:szCs w:val="24"/>
        </w:rPr>
        <w:t xml:space="preserve"> prihoda</w:t>
      </w:r>
      <w:r w:rsidRPr="00DE2EF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A38ADDC" w14:textId="2CC0E6BD" w:rsidR="00DE2EFF" w:rsidRPr="00DE2EFF" w:rsidRDefault="00DE2EFF" w:rsidP="00DE2EFF">
      <w:pPr>
        <w:jc w:val="both"/>
        <w:rPr>
          <w:rFonts w:ascii="Times New Roman" w:hAnsi="Times New Roman" w:cs="Times New Roman"/>
          <w:sz w:val="24"/>
          <w:szCs w:val="24"/>
        </w:rPr>
      </w:pPr>
      <w:r w:rsidRPr="00DE2EFF">
        <w:rPr>
          <w:rFonts w:ascii="Times New Roman" w:hAnsi="Times New Roman" w:cs="Times New Roman"/>
          <w:sz w:val="24"/>
          <w:szCs w:val="24"/>
        </w:rPr>
        <w:t xml:space="preserve">Unutar ove podaktivnosti </w:t>
      </w:r>
      <w:r w:rsidR="00653F11">
        <w:rPr>
          <w:rFonts w:ascii="Times New Roman" w:hAnsi="Times New Roman" w:cs="Times New Roman"/>
          <w:sz w:val="24"/>
          <w:szCs w:val="24"/>
        </w:rPr>
        <w:t>izvršeni</w:t>
      </w:r>
      <w:r>
        <w:rPr>
          <w:rFonts w:ascii="Times New Roman" w:hAnsi="Times New Roman" w:cs="Times New Roman"/>
          <w:sz w:val="24"/>
          <w:szCs w:val="24"/>
        </w:rPr>
        <w:t xml:space="preserve"> su</w:t>
      </w:r>
      <w:r w:rsidRPr="00DE2EFF">
        <w:rPr>
          <w:rFonts w:ascii="Times New Roman" w:hAnsi="Times New Roman" w:cs="Times New Roman"/>
          <w:sz w:val="24"/>
          <w:szCs w:val="24"/>
        </w:rPr>
        <w:t xml:space="preserve"> rashod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E2EFF">
        <w:rPr>
          <w:rFonts w:ascii="Times New Roman" w:hAnsi="Times New Roman" w:cs="Times New Roman"/>
          <w:sz w:val="24"/>
          <w:szCs w:val="24"/>
        </w:rPr>
        <w:t xml:space="preserve"> nastali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2EFF">
        <w:rPr>
          <w:rFonts w:ascii="Times New Roman" w:hAnsi="Times New Roman" w:cs="Times New Roman"/>
          <w:sz w:val="24"/>
          <w:szCs w:val="24"/>
        </w:rPr>
        <w:t>provedbom studija i on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E2EFF">
        <w:rPr>
          <w:rFonts w:ascii="Times New Roman" w:hAnsi="Times New Roman" w:cs="Times New Roman"/>
          <w:sz w:val="24"/>
          <w:szCs w:val="24"/>
        </w:rPr>
        <w:t xml:space="preserve"> u 202</w:t>
      </w:r>
      <w:r w:rsidR="008732D5">
        <w:rPr>
          <w:rFonts w:ascii="Times New Roman" w:hAnsi="Times New Roman" w:cs="Times New Roman"/>
          <w:sz w:val="24"/>
          <w:szCs w:val="24"/>
        </w:rPr>
        <w:t>5</w:t>
      </w:r>
      <w:r w:rsidRPr="00DE2EFF">
        <w:rPr>
          <w:rFonts w:ascii="Times New Roman" w:hAnsi="Times New Roman" w:cs="Times New Roman"/>
          <w:sz w:val="24"/>
          <w:szCs w:val="24"/>
        </w:rPr>
        <w:t xml:space="preserve">. godini iznose  </w:t>
      </w:r>
      <w:r w:rsidR="008732D5">
        <w:rPr>
          <w:rFonts w:ascii="Times New Roman" w:hAnsi="Times New Roman" w:cs="Times New Roman"/>
          <w:sz w:val="24"/>
          <w:szCs w:val="24"/>
        </w:rPr>
        <w:t>442.128</w:t>
      </w:r>
      <w:r w:rsidRPr="00DE2EFF">
        <w:rPr>
          <w:rFonts w:ascii="Times New Roman" w:hAnsi="Times New Roman" w:cs="Times New Roman"/>
          <w:sz w:val="24"/>
          <w:szCs w:val="24"/>
        </w:rPr>
        <w:t xml:space="preserve"> EUR  od toga </w:t>
      </w:r>
      <w:r w:rsidR="008732D5">
        <w:rPr>
          <w:rFonts w:ascii="Times New Roman" w:hAnsi="Times New Roman" w:cs="Times New Roman"/>
          <w:sz w:val="24"/>
          <w:szCs w:val="24"/>
        </w:rPr>
        <w:t>368.046</w:t>
      </w:r>
      <w:r w:rsidRPr="00DE2EFF">
        <w:rPr>
          <w:rFonts w:ascii="Times New Roman" w:hAnsi="Times New Roman" w:cs="Times New Roman"/>
          <w:sz w:val="24"/>
          <w:szCs w:val="24"/>
        </w:rPr>
        <w:t xml:space="preserve"> </w:t>
      </w:r>
      <w:r w:rsidR="008732D5">
        <w:rPr>
          <w:rFonts w:ascii="Times New Roman" w:hAnsi="Times New Roman" w:cs="Times New Roman"/>
          <w:sz w:val="24"/>
          <w:szCs w:val="24"/>
        </w:rPr>
        <w:t>EUR</w:t>
      </w:r>
      <w:r w:rsidRPr="00DE2EFF">
        <w:rPr>
          <w:rFonts w:ascii="Times New Roman" w:hAnsi="Times New Roman" w:cs="Times New Roman"/>
          <w:sz w:val="24"/>
          <w:szCs w:val="24"/>
        </w:rPr>
        <w:t xml:space="preserve"> za materijalne rashode, </w:t>
      </w:r>
      <w:r w:rsidR="008732D5">
        <w:rPr>
          <w:rFonts w:ascii="Times New Roman" w:hAnsi="Times New Roman" w:cs="Times New Roman"/>
          <w:sz w:val="24"/>
          <w:szCs w:val="24"/>
        </w:rPr>
        <w:t xml:space="preserve">18 </w:t>
      </w:r>
      <w:r w:rsidRPr="00DE2EFF">
        <w:rPr>
          <w:rFonts w:ascii="Times New Roman" w:hAnsi="Times New Roman" w:cs="Times New Roman"/>
          <w:sz w:val="24"/>
          <w:szCs w:val="24"/>
        </w:rPr>
        <w:t>EUR za financijske rashode</w:t>
      </w:r>
      <w:r w:rsidR="00653F11">
        <w:rPr>
          <w:rFonts w:ascii="Times New Roman" w:hAnsi="Times New Roman" w:cs="Times New Roman"/>
          <w:sz w:val="24"/>
          <w:szCs w:val="24"/>
        </w:rPr>
        <w:t xml:space="preserve">, </w:t>
      </w:r>
      <w:r w:rsidR="008732D5">
        <w:rPr>
          <w:rFonts w:ascii="Times New Roman" w:hAnsi="Times New Roman" w:cs="Times New Roman"/>
          <w:sz w:val="24"/>
          <w:szCs w:val="24"/>
        </w:rPr>
        <w:t>20.708</w:t>
      </w:r>
      <w:r w:rsidR="00653F11">
        <w:rPr>
          <w:rFonts w:ascii="Times New Roman" w:hAnsi="Times New Roman" w:cs="Times New Roman"/>
          <w:sz w:val="24"/>
          <w:szCs w:val="24"/>
        </w:rPr>
        <w:t xml:space="preserve"> </w:t>
      </w:r>
      <w:r w:rsidRPr="00DE2EFF">
        <w:rPr>
          <w:rFonts w:ascii="Times New Roman" w:hAnsi="Times New Roman" w:cs="Times New Roman"/>
          <w:sz w:val="24"/>
          <w:szCs w:val="24"/>
        </w:rPr>
        <w:t xml:space="preserve"> EUR za prijenos sredstava školarina Sveučilištu u Rijeci temeljem obračunatih prihoda (3%+1%), </w:t>
      </w:r>
      <w:r w:rsidR="008732D5">
        <w:rPr>
          <w:rFonts w:ascii="Times New Roman" w:hAnsi="Times New Roman" w:cs="Times New Roman"/>
          <w:sz w:val="24"/>
          <w:szCs w:val="24"/>
        </w:rPr>
        <w:t xml:space="preserve">540 </w:t>
      </w:r>
      <w:r w:rsidRPr="00DE2EFF">
        <w:rPr>
          <w:rFonts w:ascii="Times New Roman" w:hAnsi="Times New Roman" w:cs="Times New Roman"/>
          <w:sz w:val="24"/>
          <w:szCs w:val="24"/>
        </w:rPr>
        <w:t xml:space="preserve"> EUR za </w:t>
      </w:r>
      <w:r w:rsidR="003D0F25">
        <w:rPr>
          <w:rFonts w:ascii="Times New Roman" w:hAnsi="Times New Roman" w:cs="Times New Roman"/>
          <w:sz w:val="24"/>
          <w:szCs w:val="24"/>
        </w:rPr>
        <w:t xml:space="preserve"> plaćene </w:t>
      </w:r>
      <w:r w:rsidRPr="00DE2EFF">
        <w:rPr>
          <w:rFonts w:ascii="Times New Roman" w:hAnsi="Times New Roman" w:cs="Times New Roman"/>
          <w:sz w:val="24"/>
          <w:szCs w:val="24"/>
        </w:rPr>
        <w:t xml:space="preserve">školarine zaposlenika na doktorskom studiju, </w:t>
      </w:r>
      <w:r w:rsidR="008732D5">
        <w:rPr>
          <w:rFonts w:ascii="Times New Roman" w:hAnsi="Times New Roman" w:cs="Times New Roman"/>
          <w:sz w:val="24"/>
          <w:szCs w:val="24"/>
        </w:rPr>
        <w:t xml:space="preserve">784 </w:t>
      </w:r>
      <w:r w:rsidRPr="00DE2EFF">
        <w:rPr>
          <w:rFonts w:ascii="Times New Roman" w:hAnsi="Times New Roman" w:cs="Times New Roman"/>
          <w:sz w:val="24"/>
          <w:szCs w:val="24"/>
        </w:rPr>
        <w:t xml:space="preserve">EUR za ostale tekuće donacije u naravi koje se odnose na poklone </w:t>
      </w:r>
      <w:r w:rsidR="00653F11">
        <w:rPr>
          <w:rFonts w:ascii="Times New Roman" w:hAnsi="Times New Roman" w:cs="Times New Roman"/>
          <w:sz w:val="24"/>
          <w:szCs w:val="24"/>
        </w:rPr>
        <w:t xml:space="preserve">najbolje nagrađenim studentima, </w:t>
      </w:r>
      <w:r w:rsidRPr="00DE2EFF">
        <w:rPr>
          <w:rFonts w:ascii="Times New Roman" w:hAnsi="Times New Roman" w:cs="Times New Roman"/>
          <w:sz w:val="24"/>
          <w:szCs w:val="24"/>
        </w:rPr>
        <w:t xml:space="preserve"> </w:t>
      </w:r>
      <w:r w:rsidR="008732D5">
        <w:rPr>
          <w:rFonts w:ascii="Times New Roman" w:hAnsi="Times New Roman" w:cs="Times New Roman"/>
          <w:sz w:val="24"/>
          <w:szCs w:val="24"/>
        </w:rPr>
        <w:t>3.000</w:t>
      </w:r>
      <w:r w:rsidRPr="00DE2EFF">
        <w:rPr>
          <w:rFonts w:ascii="Times New Roman" w:hAnsi="Times New Roman" w:cs="Times New Roman"/>
          <w:sz w:val="24"/>
          <w:szCs w:val="24"/>
        </w:rPr>
        <w:t xml:space="preserve"> EUR za ulaganje u </w:t>
      </w:r>
      <w:r w:rsidR="008732D5">
        <w:rPr>
          <w:rFonts w:ascii="Times New Roman" w:hAnsi="Times New Roman" w:cs="Times New Roman"/>
          <w:sz w:val="24"/>
          <w:szCs w:val="24"/>
        </w:rPr>
        <w:t>dvogodišnju licencu</w:t>
      </w:r>
      <w:r w:rsidRPr="00DE2EFF">
        <w:rPr>
          <w:rFonts w:ascii="Times New Roman" w:hAnsi="Times New Roman" w:cs="Times New Roman"/>
          <w:sz w:val="24"/>
          <w:szCs w:val="24"/>
        </w:rPr>
        <w:t xml:space="preserve">, </w:t>
      </w:r>
      <w:r w:rsidR="008732D5">
        <w:rPr>
          <w:rFonts w:ascii="Times New Roman" w:hAnsi="Times New Roman" w:cs="Times New Roman"/>
          <w:sz w:val="24"/>
          <w:szCs w:val="24"/>
        </w:rPr>
        <w:t xml:space="preserve">49.031 </w:t>
      </w:r>
      <w:r w:rsidRPr="00DE2EFF">
        <w:rPr>
          <w:rFonts w:ascii="Times New Roman" w:hAnsi="Times New Roman" w:cs="Times New Roman"/>
          <w:sz w:val="24"/>
          <w:szCs w:val="24"/>
        </w:rPr>
        <w:t xml:space="preserve"> EUR za nabavu i zamjenu </w:t>
      </w:r>
      <w:r w:rsidR="00653F11">
        <w:rPr>
          <w:rFonts w:ascii="Times New Roman" w:hAnsi="Times New Roman" w:cs="Times New Roman"/>
          <w:sz w:val="24"/>
          <w:szCs w:val="24"/>
        </w:rPr>
        <w:t>računalne opreme i dotrajalog uredskog namještaja</w:t>
      </w:r>
      <w:r w:rsidRPr="00DE2EFF">
        <w:rPr>
          <w:rFonts w:ascii="Times New Roman" w:hAnsi="Times New Roman" w:cs="Times New Roman"/>
          <w:sz w:val="24"/>
          <w:szCs w:val="24"/>
        </w:rPr>
        <w:t xml:space="preserve">, </w:t>
      </w:r>
      <w:r w:rsidR="008732D5">
        <w:rPr>
          <w:rFonts w:ascii="Times New Roman" w:hAnsi="Times New Roman" w:cs="Times New Roman"/>
          <w:sz w:val="24"/>
          <w:szCs w:val="24"/>
        </w:rPr>
        <w:t>instrumenata i uređaja, te nabavu</w:t>
      </w:r>
      <w:r w:rsidRPr="00DE2EFF">
        <w:rPr>
          <w:rFonts w:ascii="Times New Roman" w:hAnsi="Times New Roman" w:cs="Times New Roman"/>
          <w:sz w:val="24"/>
          <w:szCs w:val="24"/>
        </w:rPr>
        <w:t xml:space="preserve"> knjiga</w:t>
      </w:r>
      <w:r w:rsidR="00653F11">
        <w:rPr>
          <w:rFonts w:ascii="Times New Roman" w:hAnsi="Times New Roman" w:cs="Times New Roman"/>
          <w:sz w:val="24"/>
          <w:szCs w:val="24"/>
        </w:rPr>
        <w:t>.</w:t>
      </w:r>
      <w:r w:rsidRPr="00DE2EF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B72922F" w14:textId="77777777" w:rsidR="00DE2EFF" w:rsidRPr="00DE2EFF" w:rsidRDefault="00DE2EFF" w:rsidP="00DE2EFF">
      <w:pPr>
        <w:jc w:val="both"/>
        <w:rPr>
          <w:rFonts w:ascii="Times New Roman" w:hAnsi="Times New Roman" w:cs="Times New Roman"/>
          <w:sz w:val="24"/>
          <w:szCs w:val="24"/>
        </w:rPr>
      </w:pPr>
      <w:r w:rsidRPr="00DE2EFF">
        <w:rPr>
          <w:rFonts w:ascii="Times New Roman" w:hAnsi="Times New Roman" w:cs="Times New Roman"/>
          <w:b/>
          <w:sz w:val="24"/>
          <w:szCs w:val="24"/>
        </w:rPr>
        <w:t>2.</w:t>
      </w:r>
      <w:r w:rsidRPr="00DE2EFF">
        <w:rPr>
          <w:rFonts w:ascii="Times New Roman" w:hAnsi="Times New Roman" w:cs="Times New Roman"/>
          <w:b/>
          <w:sz w:val="24"/>
          <w:szCs w:val="24"/>
        </w:rPr>
        <w:tab/>
        <w:t>Poslijediplomski studij „Pomorstvo“</w:t>
      </w:r>
    </w:p>
    <w:p w14:paraId="355EF6EE" w14:textId="1924FA7F" w:rsidR="00DE2EFF" w:rsidRPr="00DE2EFF" w:rsidRDefault="00DE2EFF" w:rsidP="00DE2EFF">
      <w:pPr>
        <w:jc w:val="both"/>
        <w:rPr>
          <w:rFonts w:ascii="Times New Roman" w:hAnsi="Times New Roman" w:cs="Times New Roman"/>
          <w:sz w:val="24"/>
          <w:szCs w:val="24"/>
        </w:rPr>
      </w:pPr>
      <w:r w:rsidRPr="00DE2EFF">
        <w:rPr>
          <w:rFonts w:ascii="Times New Roman" w:hAnsi="Times New Roman" w:cs="Times New Roman"/>
          <w:sz w:val="24"/>
          <w:szCs w:val="24"/>
        </w:rPr>
        <w:t xml:space="preserve">Na ovoj podaktivnosti </w:t>
      </w:r>
      <w:r w:rsidR="00653F11">
        <w:rPr>
          <w:rFonts w:ascii="Times New Roman" w:hAnsi="Times New Roman" w:cs="Times New Roman"/>
          <w:sz w:val="24"/>
          <w:szCs w:val="24"/>
        </w:rPr>
        <w:t>izvršeni su rashodi</w:t>
      </w:r>
      <w:r w:rsidRPr="00DE2EFF">
        <w:rPr>
          <w:rFonts w:ascii="Times New Roman" w:hAnsi="Times New Roman" w:cs="Times New Roman"/>
          <w:sz w:val="24"/>
          <w:szCs w:val="24"/>
        </w:rPr>
        <w:t xml:space="preserve"> za izvođenje poslijediplomskog studija „Pomorstvo“ u ukupnom iznosu </w:t>
      </w:r>
      <w:r w:rsidR="008732D5">
        <w:rPr>
          <w:rFonts w:ascii="Times New Roman" w:hAnsi="Times New Roman" w:cs="Times New Roman"/>
          <w:sz w:val="24"/>
          <w:szCs w:val="24"/>
        </w:rPr>
        <w:t>14.351</w:t>
      </w:r>
      <w:r w:rsidRPr="00DE2EFF">
        <w:rPr>
          <w:rFonts w:ascii="Times New Roman" w:hAnsi="Times New Roman" w:cs="Times New Roman"/>
          <w:sz w:val="24"/>
          <w:szCs w:val="24"/>
        </w:rPr>
        <w:t xml:space="preserve"> EUR. Od ukupno </w:t>
      </w:r>
      <w:r w:rsidR="00653F11">
        <w:rPr>
          <w:rFonts w:ascii="Times New Roman" w:hAnsi="Times New Roman" w:cs="Times New Roman"/>
          <w:sz w:val="24"/>
          <w:szCs w:val="24"/>
        </w:rPr>
        <w:t xml:space="preserve">utrošenih </w:t>
      </w:r>
      <w:r w:rsidRPr="00DE2EFF">
        <w:rPr>
          <w:rFonts w:ascii="Times New Roman" w:hAnsi="Times New Roman" w:cs="Times New Roman"/>
          <w:sz w:val="24"/>
          <w:szCs w:val="24"/>
        </w:rPr>
        <w:t>sredstava u 202</w:t>
      </w:r>
      <w:r w:rsidR="008732D5">
        <w:rPr>
          <w:rFonts w:ascii="Times New Roman" w:hAnsi="Times New Roman" w:cs="Times New Roman"/>
          <w:sz w:val="24"/>
          <w:szCs w:val="24"/>
        </w:rPr>
        <w:t>5</w:t>
      </w:r>
      <w:r w:rsidRPr="00DE2EFF">
        <w:rPr>
          <w:rFonts w:ascii="Times New Roman" w:hAnsi="Times New Roman" w:cs="Times New Roman"/>
          <w:sz w:val="24"/>
          <w:szCs w:val="24"/>
        </w:rPr>
        <w:t xml:space="preserve">. godini, na rashode za zaposlene odnosi se </w:t>
      </w:r>
      <w:r w:rsidR="008732D5">
        <w:rPr>
          <w:rFonts w:ascii="Times New Roman" w:hAnsi="Times New Roman" w:cs="Times New Roman"/>
          <w:sz w:val="24"/>
          <w:szCs w:val="24"/>
        </w:rPr>
        <w:t>17,37</w:t>
      </w:r>
      <w:r w:rsidRPr="00DE2EFF">
        <w:rPr>
          <w:rFonts w:ascii="Times New Roman" w:hAnsi="Times New Roman" w:cs="Times New Roman"/>
          <w:sz w:val="24"/>
          <w:szCs w:val="24"/>
        </w:rPr>
        <w:t xml:space="preserve">% dok </w:t>
      </w:r>
      <w:r w:rsidR="009B0254">
        <w:rPr>
          <w:rFonts w:ascii="Times New Roman" w:hAnsi="Times New Roman" w:cs="Times New Roman"/>
          <w:sz w:val="24"/>
          <w:szCs w:val="24"/>
        </w:rPr>
        <w:t xml:space="preserve">se </w:t>
      </w:r>
      <w:r w:rsidR="008732D5">
        <w:rPr>
          <w:rFonts w:ascii="Times New Roman" w:hAnsi="Times New Roman" w:cs="Times New Roman"/>
          <w:sz w:val="24"/>
          <w:szCs w:val="24"/>
        </w:rPr>
        <w:t>64,82</w:t>
      </w:r>
      <w:r w:rsidRPr="00DE2EFF">
        <w:rPr>
          <w:rFonts w:ascii="Times New Roman" w:hAnsi="Times New Roman" w:cs="Times New Roman"/>
          <w:sz w:val="24"/>
          <w:szCs w:val="24"/>
        </w:rPr>
        <w:t xml:space="preserve">% odnosi se na rashode za vanjske suradnike na studiju. Preostali rashodi odnose se na podmirenje troškova izvođenja ove podaktivnosti, te prijenos </w:t>
      </w:r>
      <w:r w:rsidR="00653F11" w:rsidRPr="00DE2EFF">
        <w:rPr>
          <w:rFonts w:ascii="Times New Roman" w:hAnsi="Times New Roman" w:cs="Times New Roman"/>
          <w:sz w:val="24"/>
          <w:szCs w:val="24"/>
        </w:rPr>
        <w:t xml:space="preserve">4% </w:t>
      </w:r>
      <w:r w:rsidRPr="00DE2EFF">
        <w:rPr>
          <w:rFonts w:ascii="Times New Roman" w:hAnsi="Times New Roman" w:cs="Times New Roman"/>
          <w:sz w:val="24"/>
          <w:szCs w:val="24"/>
        </w:rPr>
        <w:t>obračuna prihoda za Sveučilište. Ova podaktivnost financira se iz izvora 43.</w:t>
      </w:r>
    </w:p>
    <w:p w14:paraId="1733EAD8" w14:textId="77777777" w:rsidR="00DE2EFF" w:rsidRPr="00DE2EFF" w:rsidRDefault="00DE2EFF" w:rsidP="00DE2E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E2EFF">
        <w:rPr>
          <w:rFonts w:ascii="Times New Roman" w:hAnsi="Times New Roman" w:cs="Times New Roman"/>
          <w:b/>
          <w:sz w:val="24"/>
          <w:szCs w:val="24"/>
        </w:rPr>
        <w:t>3.</w:t>
      </w:r>
      <w:r w:rsidRPr="00DE2EFF">
        <w:rPr>
          <w:rFonts w:ascii="Times New Roman" w:hAnsi="Times New Roman" w:cs="Times New Roman"/>
          <w:b/>
          <w:sz w:val="24"/>
          <w:szCs w:val="24"/>
        </w:rPr>
        <w:tab/>
        <w:t xml:space="preserve">Programi cjeloživotnog obrazovanja - tečajevi i posebni program izobrazbe za pomorce </w:t>
      </w:r>
    </w:p>
    <w:p w14:paraId="3DC526E7" w14:textId="20BBF663" w:rsidR="00DE2EFF" w:rsidRPr="00DE2EFF" w:rsidRDefault="00DE2EFF" w:rsidP="00DE2EFF">
      <w:pPr>
        <w:jc w:val="both"/>
        <w:rPr>
          <w:rFonts w:ascii="Times New Roman" w:hAnsi="Times New Roman" w:cs="Times New Roman"/>
          <w:sz w:val="24"/>
          <w:szCs w:val="24"/>
        </w:rPr>
      </w:pPr>
      <w:r w:rsidRPr="00DE2EFF">
        <w:rPr>
          <w:rFonts w:ascii="Times New Roman" w:hAnsi="Times New Roman" w:cs="Times New Roman"/>
          <w:sz w:val="24"/>
          <w:szCs w:val="24"/>
        </w:rPr>
        <w:t xml:space="preserve">U okviru ove podaktivnosti </w:t>
      </w:r>
      <w:r w:rsidR="00653F11">
        <w:rPr>
          <w:rFonts w:ascii="Times New Roman" w:hAnsi="Times New Roman" w:cs="Times New Roman"/>
          <w:sz w:val="24"/>
          <w:szCs w:val="24"/>
        </w:rPr>
        <w:t xml:space="preserve">utrošena su </w:t>
      </w:r>
      <w:r w:rsidRPr="00DE2EFF">
        <w:rPr>
          <w:rFonts w:ascii="Times New Roman" w:hAnsi="Times New Roman" w:cs="Times New Roman"/>
          <w:sz w:val="24"/>
          <w:szCs w:val="24"/>
        </w:rPr>
        <w:t xml:space="preserve">sredstva u iznosu od </w:t>
      </w:r>
      <w:r w:rsidR="008732D5">
        <w:rPr>
          <w:rFonts w:ascii="Times New Roman" w:hAnsi="Times New Roman" w:cs="Times New Roman"/>
          <w:sz w:val="24"/>
          <w:szCs w:val="24"/>
        </w:rPr>
        <w:t>217.433</w:t>
      </w:r>
      <w:r w:rsidRPr="00DE2EFF">
        <w:rPr>
          <w:rFonts w:ascii="Times New Roman" w:hAnsi="Times New Roman" w:cs="Times New Roman"/>
          <w:sz w:val="24"/>
          <w:szCs w:val="24"/>
        </w:rPr>
        <w:t xml:space="preserve"> EUR </w:t>
      </w:r>
      <w:r w:rsidR="00653F11">
        <w:rPr>
          <w:rFonts w:ascii="Times New Roman" w:hAnsi="Times New Roman" w:cs="Times New Roman"/>
          <w:sz w:val="24"/>
          <w:szCs w:val="24"/>
        </w:rPr>
        <w:t>i odnose se na</w:t>
      </w:r>
      <w:r w:rsidRPr="00DE2EFF">
        <w:rPr>
          <w:rFonts w:ascii="Times New Roman" w:hAnsi="Times New Roman" w:cs="Times New Roman"/>
          <w:sz w:val="24"/>
          <w:szCs w:val="24"/>
        </w:rPr>
        <w:t xml:space="preserve"> </w:t>
      </w:r>
      <w:r w:rsidR="00653F11">
        <w:rPr>
          <w:rFonts w:ascii="Times New Roman" w:hAnsi="Times New Roman" w:cs="Times New Roman"/>
          <w:sz w:val="24"/>
          <w:szCs w:val="24"/>
        </w:rPr>
        <w:t xml:space="preserve">rashode za </w:t>
      </w:r>
      <w:r w:rsidRPr="00DE2EFF">
        <w:rPr>
          <w:rFonts w:ascii="Times New Roman" w:hAnsi="Times New Roman" w:cs="Times New Roman"/>
          <w:sz w:val="24"/>
          <w:szCs w:val="24"/>
        </w:rPr>
        <w:t>zaposlene koji izvode tečajeve i programe izobrazbe za pomorce</w:t>
      </w:r>
      <w:r w:rsidR="00653F11">
        <w:rPr>
          <w:rFonts w:ascii="Times New Roman" w:hAnsi="Times New Roman" w:cs="Times New Roman"/>
          <w:sz w:val="24"/>
          <w:szCs w:val="24"/>
        </w:rPr>
        <w:t xml:space="preserve"> kao i vanjske suradnike</w:t>
      </w:r>
      <w:r w:rsidRPr="00DE2EFF">
        <w:rPr>
          <w:rFonts w:ascii="Times New Roman" w:hAnsi="Times New Roman" w:cs="Times New Roman"/>
          <w:sz w:val="24"/>
          <w:szCs w:val="24"/>
        </w:rPr>
        <w:t xml:space="preserve">. </w:t>
      </w:r>
      <w:r w:rsidR="008732D5">
        <w:rPr>
          <w:rFonts w:ascii="Times New Roman" w:hAnsi="Times New Roman" w:cs="Times New Roman"/>
          <w:sz w:val="24"/>
          <w:szCs w:val="24"/>
        </w:rPr>
        <w:t>Rashodi za zaposlene čine 73,36% ukupnih troškova ove aktivnosti dok su m</w:t>
      </w:r>
      <w:r w:rsidRPr="00DE2EFF">
        <w:rPr>
          <w:rFonts w:ascii="Times New Roman" w:hAnsi="Times New Roman" w:cs="Times New Roman"/>
          <w:sz w:val="24"/>
          <w:szCs w:val="24"/>
        </w:rPr>
        <w:t>aterijalni rashodi u 202</w:t>
      </w:r>
      <w:r w:rsidR="008732D5">
        <w:rPr>
          <w:rFonts w:ascii="Times New Roman" w:hAnsi="Times New Roman" w:cs="Times New Roman"/>
          <w:sz w:val="24"/>
          <w:szCs w:val="24"/>
        </w:rPr>
        <w:t>5</w:t>
      </w:r>
      <w:r w:rsidRPr="00DE2EFF">
        <w:rPr>
          <w:rFonts w:ascii="Times New Roman" w:hAnsi="Times New Roman" w:cs="Times New Roman"/>
          <w:sz w:val="24"/>
          <w:szCs w:val="24"/>
        </w:rPr>
        <w:t xml:space="preserve">. </w:t>
      </w:r>
      <w:r w:rsidR="00653F11">
        <w:rPr>
          <w:rFonts w:ascii="Times New Roman" w:hAnsi="Times New Roman" w:cs="Times New Roman"/>
          <w:sz w:val="24"/>
          <w:szCs w:val="24"/>
        </w:rPr>
        <w:t xml:space="preserve">izvršeni su u iznosu </w:t>
      </w:r>
      <w:r w:rsidR="008732D5">
        <w:rPr>
          <w:rFonts w:ascii="Times New Roman" w:hAnsi="Times New Roman" w:cs="Times New Roman"/>
          <w:sz w:val="24"/>
          <w:szCs w:val="24"/>
        </w:rPr>
        <w:t>45.908</w:t>
      </w:r>
      <w:r w:rsidRPr="00DE2EFF">
        <w:rPr>
          <w:rFonts w:ascii="Times New Roman" w:hAnsi="Times New Roman" w:cs="Times New Roman"/>
          <w:sz w:val="24"/>
          <w:szCs w:val="24"/>
        </w:rPr>
        <w:t xml:space="preserve"> EUR i odnose se na sredstva za vanjske suradnike, najam vatrogasnih poligona za izvođenje tečajeva, reprezentaciju i ostale rashode</w:t>
      </w:r>
      <w:r w:rsidR="003D0F25">
        <w:rPr>
          <w:rFonts w:ascii="Times New Roman" w:hAnsi="Times New Roman" w:cs="Times New Roman"/>
          <w:sz w:val="24"/>
          <w:szCs w:val="24"/>
        </w:rPr>
        <w:t xml:space="preserve">. </w:t>
      </w:r>
      <w:r w:rsidRPr="00DE2EFF">
        <w:rPr>
          <w:rFonts w:ascii="Times New Roman" w:hAnsi="Times New Roman" w:cs="Times New Roman"/>
          <w:sz w:val="24"/>
          <w:szCs w:val="24"/>
        </w:rPr>
        <w:t xml:space="preserve">Preostali rashodi odnose se na podmirenje ostalih troškova izvođenja ove podaktivnosti, te prijenos </w:t>
      </w:r>
      <w:r w:rsidR="00653F11" w:rsidRPr="00DE2EFF">
        <w:rPr>
          <w:rFonts w:ascii="Times New Roman" w:hAnsi="Times New Roman" w:cs="Times New Roman"/>
          <w:sz w:val="24"/>
          <w:szCs w:val="24"/>
        </w:rPr>
        <w:t xml:space="preserve">4% </w:t>
      </w:r>
      <w:r w:rsidRPr="00DE2EFF">
        <w:rPr>
          <w:rFonts w:ascii="Times New Roman" w:hAnsi="Times New Roman" w:cs="Times New Roman"/>
          <w:sz w:val="24"/>
          <w:szCs w:val="24"/>
        </w:rPr>
        <w:t>obračuna prihoda za Sveučilište.</w:t>
      </w:r>
    </w:p>
    <w:p w14:paraId="4F723BDE" w14:textId="77777777" w:rsidR="00DE2EFF" w:rsidRPr="00DE2EFF" w:rsidRDefault="00DE2EFF" w:rsidP="00DE2EFF">
      <w:pPr>
        <w:jc w:val="both"/>
        <w:rPr>
          <w:rFonts w:ascii="Times New Roman" w:hAnsi="Times New Roman" w:cs="Times New Roman"/>
          <w:sz w:val="24"/>
          <w:szCs w:val="24"/>
        </w:rPr>
      </w:pPr>
      <w:r w:rsidRPr="00DE2EFF">
        <w:rPr>
          <w:rFonts w:ascii="Times New Roman" w:hAnsi="Times New Roman" w:cs="Times New Roman"/>
          <w:b/>
          <w:sz w:val="24"/>
          <w:szCs w:val="24"/>
        </w:rPr>
        <w:t>4</w:t>
      </w:r>
      <w:r w:rsidRPr="00DE2EFF">
        <w:rPr>
          <w:rFonts w:ascii="Times New Roman" w:hAnsi="Times New Roman" w:cs="Times New Roman"/>
          <w:sz w:val="24"/>
          <w:szCs w:val="24"/>
        </w:rPr>
        <w:t>.</w:t>
      </w:r>
      <w:r w:rsidRPr="00DE2EFF">
        <w:rPr>
          <w:rFonts w:ascii="Times New Roman" w:hAnsi="Times New Roman" w:cs="Times New Roman"/>
          <w:sz w:val="24"/>
          <w:szCs w:val="24"/>
        </w:rPr>
        <w:tab/>
      </w:r>
      <w:r w:rsidRPr="00DE2EFF">
        <w:rPr>
          <w:rFonts w:ascii="Times New Roman" w:hAnsi="Times New Roman" w:cs="Times New Roman"/>
          <w:b/>
          <w:sz w:val="24"/>
          <w:szCs w:val="24"/>
        </w:rPr>
        <w:t>Stručna djelatnost – projekti za gospodarstvo</w:t>
      </w:r>
      <w:r w:rsidRPr="00DE2E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6F8638" w14:textId="4FB8E373" w:rsidR="00DE2EFF" w:rsidRDefault="00DE2EFF" w:rsidP="00DE2EFF">
      <w:pPr>
        <w:jc w:val="both"/>
        <w:rPr>
          <w:rFonts w:ascii="Times New Roman" w:hAnsi="Times New Roman" w:cs="Times New Roman"/>
          <w:sz w:val="24"/>
          <w:szCs w:val="24"/>
        </w:rPr>
      </w:pPr>
      <w:r w:rsidRPr="00DE2EFF">
        <w:rPr>
          <w:rFonts w:ascii="Times New Roman" w:hAnsi="Times New Roman" w:cs="Times New Roman"/>
          <w:sz w:val="24"/>
          <w:szCs w:val="24"/>
        </w:rPr>
        <w:t xml:space="preserve">U okviru ove podaktivnosti </w:t>
      </w:r>
      <w:r w:rsidR="008732D5">
        <w:rPr>
          <w:rFonts w:ascii="Times New Roman" w:hAnsi="Times New Roman" w:cs="Times New Roman"/>
          <w:sz w:val="24"/>
          <w:szCs w:val="24"/>
        </w:rPr>
        <w:t>91,01</w:t>
      </w:r>
      <w:r w:rsidRPr="00DE2EFF">
        <w:rPr>
          <w:rFonts w:ascii="Times New Roman" w:hAnsi="Times New Roman" w:cs="Times New Roman"/>
          <w:sz w:val="24"/>
          <w:szCs w:val="24"/>
        </w:rPr>
        <w:t xml:space="preserve"> % od ukupno </w:t>
      </w:r>
      <w:r w:rsidR="0070129B">
        <w:rPr>
          <w:rFonts w:ascii="Times New Roman" w:hAnsi="Times New Roman" w:cs="Times New Roman"/>
          <w:sz w:val="24"/>
          <w:szCs w:val="24"/>
        </w:rPr>
        <w:t>utrošenih</w:t>
      </w:r>
      <w:r w:rsidRPr="00DE2EFF">
        <w:rPr>
          <w:rFonts w:ascii="Times New Roman" w:hAnsi="Times New Roman" w:cs="Times New Roman"/>
          <w:sz w:val="24"/>
          <w:szCs w:val="24"/>
        </w:rPr>
        <w:t xml:space="preserve">  </w:t>
      </w:r>
      <w:r w:rsidR="008732D5">
        <w:rPr>
          <w:rFonts w:ascii="Times New Roman" w:hAnsi="Times New Roman" w:cs="Times New Roman"/>
          <w:sz w:val="24"/>
          <w:szCs w:val="24"/>
        </w:rPr>
        <w:t>296.544</w:t>
      </w:r>
      <w:r w:rsidRPr="00DE2EFF">
        <w:rPr>
          <w:rFonts w:ascii="Times New Roman" w:hAnsi="Times New Roman" w:cs="Times New Roman"/>
          <w:sz w:val="24"/>
          <w:szCs w:val="24"/>
        </w:rPr>
        <w:t xml:space="preserve"> EUR u 202</w:t>
      </w:r>
      <w:r w:rsidR="008732D5">
        <w:rPr>
          <w:rFonts w:ascii="Times New Roman" w:hAnsi="Times New Roman" w:cs="Times New Roman"/>
          <w:sz w:val="24"/>
          <w:szCs w:val="24"/>
        </w:rPr>
        <w:t>5</w:t>
      </w:r>
      <w:r w:rsidRPr="00DE2EFF">
        <w:rPr>
          <w:rFonts w:ascii="Times New Roman" w:hAnsi="Times New Roman" w:cs="Times New Roman"/>
          <w:sz w:val="24"/>
          <w:szCs w:val="24"/>
        </w:rPr>
        <w:t xml:space="preserve">. godini odnosi se na intelektualne usluge, odnosno isplatu honorara za zaposlenima i vanjskim suradnicima koji rade </w:t>
      </w:r>
      <w:r w:rsidR="0070129B">
        <w:rPr>
          <w:rFonts w:ascii="Times New Roman" w:hAnsi="Times New Roman" w:cs="Times New Roman"/>
          <w:sz w:val="24"/>
          <w:szCs w:val="24"/>
        </w:rPr>
        <w:t xml:space="preserve">na </w:t>
      </w:r>
      <w:r w:rsidRPr="00DE2EFF">
        <w:rPr>
          <w:rFonts w:ascii="Times New Roman" w:hAnsi="Times New Roman" w:cs="Times New Roman"/>
          <w:sz w:val="24"/>
          <w:szCs w:val="24"/>
        </w:rPr>
        <w:t xml:space="preserve">stručnim projektima izrade elaborata i maritimnih studija </w:t>
      </w:r>
      <w:r w:rsidR="00BF2EDD">
        <w:rPr>
          <w:rFonts w:ascii="Times New Roman" w:hAnsi="Times New Roman" w:cs="Times New Roman"/>
          <w:sz w:val="24"/>
          <w:szCs w:val="24"/>
        </w:rPr>
        <w:t>za tržište</w:t>
      </w:r>
      <w:r w:rsidRPr="00DE2EFF">
        <w:rPr>
          <w:rFonts w:ascii="Times New Roman" w:hAnsi="Times New Roman" w:cs="Times New Roman"/>
          <w:sz w:val="24"/>
          <w:szCs w:val="24"/>
        </w:rPr>
        <w:t xml:space="preserve">. Preostali rashodi odnose se na podmirenje troškova izvođenja ove podaktivnosti, te prijenos </w:t>
      </w:r>
      <w:r w:rsidR="0070129B" w:rsidRPr="00DE2EFF">
        <w:rPr>
          <w:rFonts w:ascii="Times New Roman" w:hAnsi="Times New Roman" w:cs="Times New Roman"/>
          <w:sz w:val="24"/>
          <w:szCs w:val="24"/>
        </w:rPr>
        <w:t xml:space="preserve">4% </w:t>
      </w:r>
      <w:r w:rsidRPr="00DE2EFF">
        <w:rPr>
          <w:rFonts w:ascii="Times New Roman" w:hAnsi="Times New Roman" w:cs="Times New Roman"/>
          <w:sz w:val="24"/>
          <w:szCs w:val="24"/>
        </w:rPr>
        <w:t xml:space="preserve">obračuna prihoda za Sveučilište. </w:t>
      </w:r>
    </w:p>
    <w:p w14:paraId="161F2EB7" w14:textId="77777777" w:rsidR="00AC6F45" w:rsidRPr="00DE2EFF" w:rsidRDefault="00AC6F45" w:rsidP="00DE2EF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7CF2A1" w14:textId="77777777" w:rsidR="00DE2EFF" w:rsidRPr="00DE2EFF" w:rsidRDefault="00DE2EFF" w:rsidP="00DE2EFF">
      <w:pPr>
        <w:jc w:val="both"/>
        <w:rPr>
          <w:rFonts w:ascii="Times New Roman" w:hAnsi="Times New Roman" w:cs="Times New Roman"/>
          <w:sz w:val="24"/>
          <w:szCs w:val="24"/>
        </w:rPr>
      </w:pPr>
      <w:r w:rsidRPr="00DE2EFF"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Pr="00DE2EFF">
        <w:rPr>
          <w:rFonts w:ascii="Times New Roman" w:hAnsi="Times New Roman" w:cs="Times New Roman"/>
          <w:sz w:val="24"/>
          <w:szCs w:val="24"/>
        </w:rPr>
        <w:t>.</w:t>
      </w:r>
      <w:r w:rsidRPr="00DE2EFF">
        <w:rPr>
          <w:rFonts w:ascii="Times New Roman" w:hAnsi="Times New Roman" w:cs="Times New Roman"/>
          <w:sz w:val="24"/>
          <w:szCs w:val="24"/>
        </w:rPr>
        <w:tab/>
      </w:r>
      <w:r w:rsidRPr="00DE2EFF">
        <w:rPr>
          <w:rFonts w:ascii="Times New Roman" w:hAnsi="Times New Roman" w:cs="Times New Roman"/>
          <w:b/>
          <w:sz w:val="24"/>
          <w:szCs w:val="24"/>
        </w:rPr>
        <w:t>Rad Studentskog zbora</w:t>
      </w:r>
    </w:p>
    <w:p w14:paraId="0D74CDB4" w14:textId="5E0F6B33" w:rsidR="00DE2EFF" w:rsidRPr="00DE2EFF" w:rsidRDefault="00DE2EFF" w:rsidP="00DE2EFF">
      <w:pPr>
        <w:jc w:val="both"/>
        <w:rPr>
          <w:rFonts w:ascii="Times New Roman" w:hAnsi="Times New Roman" w:cs="Times New Roman"/>
          <w:sz w:val="24"/>
          <w:szCs w:val="24"/>
        </w:rPr>
      </w:pPr>
      <w:r w:rsidRPr="00DE2EFF">
        <w:rPr>
          <w:rFonts w:ascii="Times New Roman" w:hAnsi="Times New Roman" w:cs="Times New Roman"/>
          <w:sz w:val="24"/>
          <w:szCs w:val="24"/>
        </w:rPr>
        <w:t xml:space="preserve">Studentski zbor nema pravnu osobnost, </w:t>
      </w:r>
      <w:r w:rsidR="00BF2EDD">
        <w:rPr>
          <w:rFonts w:ascii="Times New Roman" w:hAnsi="Times New Roman" w:cs="Times New Roman"/>
          <w:sz w:val="24"/>
          <w:szCs w:val="24"/>
        </w:rPr>
        <w:t xml:space="preserve">djeluje unutar Fakulteta, </w:t>
      </w:r>
      <w:r w:rsidRPr="00DE2EFF">
        <w:rPr>
          <w:rFonts w:ascii="Times New Roman" w:hAnsi="Times New Roman" w:cs="Times New Roman"/>
          <w:sz w:val="24"/>
          <w:szCs w:val="24"/>
        </w:rPr>
        <w:t xml:space="preserve">a njegova aktivnost se financira iz izvora 43, 52 i 61 u skladu s izvorom prihoda. Dio troškova se financira iz školarina, dio doznačenim sredstvima Sveučilišta u Rijeci i dio donacijama od trgovačkih društava. </w:t>
      </w:r>
      <w:r w:rsidR="0070129B">
        <w:rPr>
          <w:rFonts w:ascii="Times New Roman" w:hAnsi="Times New Roman" w:cs="Times New Roman"/>
          <w:sz w:val="24"/>
          <w:szCs w:val="24"/>
        </w:rPr>
        <w:t>U 202</w:t>
      </w:r>
      <w:r w:rsidR="00A96F6F">
        <w:rPr>
          <w:rFonts w:ascii="Times New Roman" w:hAnsi="Times New Roman" w:cs="Times New Roman"/>
          <w:sz w:val="24"/>
          <w:szCs w:val="24"/>
        </w:rPr>
        <w:t>5</w:t>
      </w:r>
      <w:r w:rsidR="0070129B">
        <w:rPr>
          <w:rFonts w:ascii="Times New Roman" w:hAnsi="Times New Roman" w:cs="Times New Roman"/>
          <w:sz w:val="24"/>
          <w:szCs w:val="24"/>
        </w:rPr>
        <w:t xml:space="preserve">. je utrošeno </w:t>
      </w:r>
      <w:r w:rsidR="00A96F6F">
        <w:rPr>
          <w:rFonts w:ascii="Times New Roman" w:hAnsi="Times New Roman" w:cs="Times New Roman"/>
          <w:sz w:val="24"/>
          <w:szCs w:val="24"/>
        </w:rPr>
        <w:t>33</w:t>
      </w:r>
      <w:r w:rsidR="0070129B">
        <w:rPr>
          <w:rFonts w:ascii="Times New Roman" w:hAnsi="Times New Roman" w:cs="Times New Roman"/>
          <w:sz w:val="24"/>
          <w:szCs w:val="24"/>
        </w:rPr>
        <w:t xml:space="preserve"> EUR</w:t>
      </w:r>
      <w:r w:rsidR="00BF2EDD">
        <w:rPr>
          <w:rFonts w:ascii="Times New Roman" w:hAnsi="Times New Roman" w:cs="Times New Roman"/>
          <w:sz w:val="24"/>
          <w:szCs w:val="24"/>
        </w:rPr>
        <w:t xml:space="preserve"> za bankarske naknade</w:t>
      </w:r>
      <w:r w:rsidR="0070129B">
        <w:rPr>
          <w:rFonts w:ascii="Times New Roman" w:hAnsi="Times New Roman" w:cs="Times New Roman"/>
          <w:sz w:val="24"/>
          <w:szCs w:val="24"/>
        </w:rPr>
        <w:t>.</w:t>
      </w:r>
    </w:p>
    <w:p w14:paraId="5504233E" w14:textId="77777777" w:rsidR="00DE2EFF" w:rsidRPr="00DE2EFF" w:rsidRDefault="00DE2EFF" w:rsidP="00DE2EFF">
      <w:pPr>
        <w:jc w:val="both"/>
        <w:rPr>
          <w:rFonts w:ascii="Times New Roman" w:hAnsi="Times New Roman" w:cs="Times New Roman"/>
          <w:sz w:val="24"/>
          <w:szCs w:val="24"/>
        </w:rPr>
      </w:pPr>
      <w:r w:rsidRPr="00DE2EFF">
        <w:rPr>
          <w:rFonts w:ascii="Times New Roman" w:hAnsi="Times New Roman" w:cs="Times New Roman"/>
          <w:b/>
          <w:sz w:val="24"/>
          <w:szCs w:val="24"/>
        </w:rPr>
        <w:t>6.</w:t>
      </w:r>
      <w:r w:rsidRPr="00DE2EFF">
        <w:rPr>
          <w:rFonts w:ascii="Times New Roman" w:hAnsi="Times New Roman" w:cs="Times New Roman"/>
          <w:b/>
          <w:sz w:val="24"/>
          <w:szCs w:val="24"/>
        </w:rPr>
        <w:tab/>
        <w:t>Programi znanstveno-istraživačke djelatnosti</w:t>
      </w:r>
      <w:r w:rsidRPr="00DE2E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C8EBD9" w14:textId="6B492A5A" w:rsidR="0070129B" w:rsidRDefault="00DE2EFF" w:rsidP="00DE2EFF">
      <w:pPr>
        <w:jc w:val="both"/>
        <w:rPr>
          <w:rFonts w:ascii="Times New Roman" w:hAnsi="Times New Roman" w:cs="Times New Roman"/>
          <w:sz w:val="24"/>
          <w:szCs w:val="24"/>
        </w:rPr>
      </w:pPr>
      <w:r w:rsidRPr="00DE2EFF">
        <w:rPr>
          <w:rFonts w:ascii="Times New Roman" w:hAnsi="Times New Roman" w:cs="Times New Roman"/>
          <w:sz w:val="24"/>
          <w:szCs w:val="24"/>
        </w:rPr>
        <w:t xml:space="preserve">U okviru ove podaktivnosti financiraju se programi znanstveno-istraživačke djelatnosti temeljem Pravilnika o poticanju znanstvene aktivnosti Fakulteta, te implementacija 20 (dvadeset) UNIRI-ZIP znanstvenih projekata kao i financiranje projekata putem UNIRI stimulativnih potpora. </w:t>
      </w:r>
      <w:r w:rsidR="0070129B">
        <w:rPr>
          <w:rFonts w:ascii="Times New Roman" w:hAnsi="Times New Roman" w:cs="Times New Roman"/>
          <w:sz w:val="24"/>
          <w:szCs w:val="24"/>
        </w:rPr>
        <w:t xml:space="preserve">Ukupno je izvršeno </w:t>
      </w:r>
      <w:r w:rsidR="00BF2EDD">
        <w:rPr>
          <w:rFonts w:ascii="Times New Roman" w:hAnsi="Times New Roman" w:cs="Times New Roman"/>
          <w:sz w:val="24"/>
          <w:szCs w:val="24"/>
        </w:rPr>
        <w:t>75</w:t>
      </w:r>
      <w:r w:rsidR="00A96F6F">
        <w:rPr>
          <w:rFonts w:ascii="Times New Roman" w:hAnsi="Times New Roman" w:cs="Times New Roman"/>
          <w:sz w:val="24"/>
          <w:szCs w:val="24"/>
        </w:rPr>
        <w:t>.077</w:t>
      </w:r>
      <w:r w:rsidR="003D0F25">
        <w:rPr>
          <w:rFonts w:ascii="Times New Roman" w:hAnsi="Times New Roman" w:cs="Times New Roman"/>
          <w:sz w:val="24"/>
          <w:szCs w:val="24"/>
        </w:rPr>
        <w:t xml:space="preserve"> EUR</w:t>
      </w:r>
      <w:r w:rsidR="00BF2EDD">
        <w:rPr>
          <w:rFonts w:ascii="Times New Roman" w:hAnsi="Times New Roman" w:cs="Times New Roman"/>
          <w:sz w:val="24"/>
          <w:szCs w:val="24"/>
        </w:rPr>
        <w:t>, od toga se odnosi 6.032 EUR za poticanje znanstvene aktivnosti i 50.338 EUR za UNIRI ZIP projekte</w:t>
      </w:r>
      <w:r w:rsidR="003D0F25">
        <w:rPr>
          <w:rFonts w:ascii="Times New Roman" w:hAnsi="Times New Roman" w:cs="Times New Roman"/>
          <w:sz w:val="24"/>
          <w:szCs w:val="24"/>
        </w:rPr>
        <w:t>.</w:t>
      </w:r>
    </w:p>
    <w:p w14:paraId="187ED586" w14:textId="17E56CC8" w:rsidR="00DE2EFF" w:rsidRPr="00DE2EFF" w:rsidRDefault="00EB34D2" w:rsidP="00DE2E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DE2EFF" w:rsidRPr="00DE2EFF">
        <w:rPr>
          <w:rFonts w:ascii="Times New Roman" w:hAnsi="Times New Roman" w:cs="Times New Roman"/>
          <w:b/>
          <w:sz w:val="24"/>
          <w:szCs w:val="24"/>
        </w:rPr>
        <w:t>.</w:t>
      </w:r>
      <w:r w:rsidR="00DE2EFF" w:rsidRPr="00DE2EFF">
        <w:rPr>
          <w:rFonts w:ascii="Times New Roman" w:hAnsi="Times New Roman" w:cs="Times New Roman"/>
          <w:b/>
          <w:sz w:val="24"/>
          <w:szCs w:val="24"/>
        </w:rPr>
        <w:tab/>
        <w:t>Izdavanje znanstvenih udžbenika</w:t>
      </w:r>
    </w:p>
    <w:p w14:paraId="54D2264F" w14:textId="7ED81938" w:rsidR="00DE2EFF" w:rsidRPr="00DE2EFF" w:rsidRDefault="00DE2EFF" w:rsidP="00DE2EFF">
      <w:pPr>
        <w:jc w:val="both"/>
        <w:rPr>
          <w:rFonts w:ascii="Times New Roman" w:hAnsi="Times New Roman" w:cs="Times New Roman"/>
          <w:sz w:val="24"/>
          <w:szCs w:val="24"/>
        </w:rPr>
      </w:pPr>
      <w:r w:rsidRPr="00DE2EFF">
        <w:rPr>
          <w:rFonts w:ascii="Times New Roman" w:hAnsi="Times New Roman" w:cs="Times New Roman"/>
          <w:sz w:val="24"/>
          <w:szCs w:val="24"/>
        </w:rPr>
        <w:t>U okviru ove podaktivnosti</w:t>
      </w:r>
      <w:r w:rsidR="00980009">
        <w:rPr>
          <w:rFonts w:ascii="Times New Roman" w:hAnsi="Times New Roman" w:cs="Times New Roman"/>
          <w:sz w:val="24"/>
          <w:szCs w:val="24"/>
        </w:rPr>
        <w:t xml:space="preserve"> utrošeno</w:t>
      </w:r>
      <w:r w:rsidRPr="00DE2EFF">
        <w:rPr>
          <w:rFonts w:ascii="Times New Roman" w:hAnsi="Times New Roman" w:cs="Times New Roman"/>
          <w:sz w:val="24"/>
          <w:szCs w:val="24"/>
        </w:rPr>
        <w:t xml:space="preserve"> </w:t>
      </w:r>
      <w:r w:rsidR="00A96F6F">
        <w:rPr>
          <w:rFonts w:ascii="Times New Roman" w:hAnsi="Times New Roman" w:cs="Times New Roman"/>
          <w:sz w:val="24"/>
          <w:szCs w:val="24"/>
        </w:rPr>
        <w:t xml:space="preserve">388 </w:t>
      </w:r>
      <w:r w:rsidRPr="00DE2EFF">
        <w:rPr>
          <w:rFonts w:ascii="Times New Roman" w:hAnsi="Times New Roman" w:cs="Times New Roman"/>
          <w:sz w:val="24"/>
          <w:szCs w:val="24"/>
        </w:rPr>
        <w:t>EUR u 202</w:t>
      </w:r>
      <w:r w:rsidR="00A96F6F">
        <w:rPr>
          <w:rFonts w:ascii="Times New Roman" w:hAnsi="Times New Roman" w:cs="Times New Roman"/>
          <w:sz w:val="24"/>
          <w:szCs w:val="24"/>
        </w:rPr>
        <w:t>5</w:t>
      </w:r>
      <w:r w:rsidRPr="00DE2EFF">
        <w:rPr>
          <w:rFonts w:ascii="Times New Roman" w:hAnsi="Times New Roman" w:cs="Times New Roman"/>
          <w:sz w:val="24"/>
          <w:szCs w:val="24"/>
        </w:rPr>
        <w:t>. godini za financiranje materijalnih rashoda koji se odnose na usluge tiskanja izdanja udžbenika Fakulteta</w:t>
      </w:r>
      <w:r w:rsidR="00A96F6F">
        <w:rPr>
          <w:rFonts w:ascii="Times New Roman" w:hAnsi="Times New Roman" w:cs="Times New Roman"/>
          <w:sz w:val="24"/>
          <w:szCs w:val="24"/>
        </w:rPr>
        <w:t xml:space="preserve"> koji se odnose na izdanje udžbenika iz prethodne godine „</w:t>
      </w:r>
      <w:r w:rsidR="008F7E3F">
        <w:rPr>
          <w:rFonts w:ascii="Times New Roman" w:hAnsi="Times New Roman" w:cs="Times New Roman"/>
          <w:sz w:val="24"/>
          <w:szCs w:val="24"/>
        </w:rPr>
        <w:t>P</w:t>
      </w:r>
      <w:r w:rsidR="008F7E3F" w:rsidRPr="008F7E3F">
        <w:rPr>
          <w:rFonts w:ascii="Times New Roman" w:hAnsi="Times New Roman" w:cs="Times New Roman"/>
          <w:sz w:val="24"/>
          <w:szCs w:val="24"/>
        </w:rPr>
        <w:t>od povećalom interdisciplinarnosti: novi pogledi na neprilagođene engleske riječi u hrvatskome jeziku</w:t>
      </w:r>
      <w:r w:rsidR="00A96F6F">
        <w:rPr>
          <w:rFonts w:ascii="Times New Roman" w:hAnsi="Times New Roman" w:cs="Times New Roman"/>
          <w:sz w:val="24"/>
          <w:szCs w:val="24"/>
        </w:rPr>
        <w:t>“</w:t>
      </w:r>
      <w:r w:rsidR="008F7E3F">
        <w:rPr>
          <w:rFonts w:ascii="Times New Roman" w:hAnsi="Times New Roman" w:cs="Times New Roman"/>
          <w:sz w:val="24"/>
          <w:szCs w:val="24"/>
        </w:rPr>
        <w:t>.</w:t>
      </w:r>
      <w:r w:rsidR="00A96F6F">
        <w:rPr>
          <w:rFonts w:ascii="Times New Roman" w:hAnsi="Times New Roman" w:cs="Times New Roman"/>
          <w:sz w:val="24"/>
          <w:szCs w:val="24"/>
        </w:rPr>
        <w:t xml:space="preserve"> U 2025. godine nije bilo potpore MZOM-a za izdavačku djelatnost.</w:t>
      </w:r>
    </w:p>
    <w:p w14:paraId="1D147A1F" w14:textId="078ACB6E" w:rsidR="00DE2EFF" w:rsidRPr="00DE2EFF" w:rsidRDefault="00EB34D2" w:rsidP="00DE2E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DE2EFF" w:rsidRPr="00DE2EFF">
        <w:rPr>
          <w:rFonts w:ascii="Times New Roman" w:hAnsi="Times New Roman" w:cs="Times New Roman"/>
          <w:b/>
          <w:sz w:val="24"/>
          <w:szCs w:val="24"/>
        </w:rPr>
        <w:t>.</w:t>
      </w:r>
      <w:r w:rsidR="00DE2EFF" w:rsidRPr="00DE2EFF">
        <w:rPr>
          <w:rFonts w:ascii="Times New Roman" w:hAnsi="Times New Roman" w:cs="Times New Roman"/>
          <w:sz w:val="24"/>
          <w:szCs w:val="24"/>
        </w:rPr>
        <w:tab/>
      </w:r>
      <w:r w:rsidR="00DE2EFF" w:rsidRPr="00DE2EFF">
        <w:rPr>
          <w:rFonts w:ascii="Times New Roman" w:hAnsi="Times New Roman" w:cs="Times New Roman"/>
          <w:b/>
          <w:sz w:val="24"/>
          <w:szCs w:val="24"/>
        </w:rPr>
        <w:t>Izdavanje znanstvenih časopisa</w:t>
      </w:r>
    </w:p>
    <w:p w14:paraId="359DAD70" w14:textId="1201F145" w:rsidR="00DE2EFF" w:rsidRDefault="00DE2EFF" w:rsidP="00DE2EFF">
      <w:pPr>
        <w:jc w:val="both"/>
        <w:rPr>
          <w:rFonts w:ascii="Times New Roman" w:hAnsi="Times New Roman" w:cs="Times New Roman"/>
          <w:sz w:val="24"/>
          <w:szCs w:val="24"/>
        </w:rPr>
      </w:pPr>
      <w:r w:rsidRPr="00DE2EFF">
        <w:rPr>
          <w:rFonts w:ascii="Times New Roman" w:hAnsi="Times New Roman" w:cs="Times New Roman"/>
          <w:sz w:val="24"/>
          <w:szCs w:val="24"/>
        </w:rPr>
        <w:t xml:space="preserve">Ova podaktivnost pokriva izdavanje znanstvenog časopisa „Pomorstvo“ i </w:t>
      </w:r>
      <w:r w:rsidR="00980009">
        <w:rPr>
          <w:rFonts w:ascii="Times New Roman" w:hAnsi="Times New Roman" w:cs="Times New Roman"/>
          <w:sz w:val="24"/>
          <w:szCs w:val="24"/>
        </w:rPr>
        <w:t>izvršeni su rashodi u iznosu</w:t>
      </w:r>
      <w:r w:rsidRPr="00DE2EFF">
        <w:rPr>
          <w:rFonts w:ascii="Times New Roman" w:hAnsi="Times New Roman" w:cs="Times New Roman"/>
          <w:sz w:val="24"/>
          <w:szCs w:val="24"/>
        </w:rPr>
        <w:t xml:space="preserve"> </w:t>
      </w:r>
      <w:r w:rsidR="00A96F6F">
        <w:rPr>
          <w:rFonts w:ascii="Times New Roman" w:hAnsi="Times New Roman" w:cs="Times New Roman"/>
          <w:sz w:val="24"/>
          <w:szCs w:val="24"/>
        </w:rPr>
        <w:t>4.017</w:t>
      </w:r>
      <w:r w:rsidRPr="00DE2EFF">
        <w:rPr>
          <w:rFonts w:ascii="Times New Roman" w:hAnsi="Times New Roman" w:cs="Times New Roman"/>
          <w:sz w:val="24"/>
          <w:szCs w:val="24"/>
        </w:rPr>
        <w:t xml:space="preserve">  EUR. </w:t>
      </w:r>
      <w:r w:rsidR="00980009">
        <w:rPr>
          <w:rFonts w:ascii="Times New Roman" w:hAnsi="Times New Roman" w:cs="Times New Roman"/>
          <w:sz w:val="24"/>
          <w:szCs w:val="24"/>
        </w:rPr>
        <w:t>Rashodi se odnose</w:t>
      </w:r>
      <w:r w:rsidRPr="00DE2EFF">
        <w:rPr>
          <w:rFonts w:ascii="Times New Roman" w:hAnsi="Times New Roman" w:cs="Times New Roman"/>
          <w:sz w:val="24"/>
          <w:szCs w:val="24"/>
        </w:rPr>
        <w:t xml:space="preserve"> na troškove tiskanja i grafičke obrade teksta, te </w:t>
      </w:r>
      <w:r w:rsidR="008F7E3F">
        <w:rPr>
          <w:rFonts w:ascii="Times New Roman" w:hAnsi="Times New Roman" w:cs="Times New Roman"/>
          <w:sz w:val="24"/>
          <w:szCs w:val="24"/>
        </w:rPr>
        <w:t xml:space="preserve">nabave </w:t>
      </w:r>
      <w:r w:rsidR="00684873">
        <w:rPr>
          <w:rFonts w:ascii="Times New Roman" w:hAnsi="Times New Roman" w:cs="Times New Roman"/>
          <w:sz w:val="24"/>
          <w:szCs w:val="24"/>
        </w:rPr>
        <w:t>licenci</w:t>
      </w:r>
      <w:r w:rsidR="008F7E3F">
        <w:rPr>
          <w:rFonts w:ascii="Times New Roman" w:hAnsi="Times New Roman" w:cs="Times New Roman"/>
          <w:sz w:val="24"/>
          <w:szCs w:val="24"/>
        </w:rPr>
        <w:t>.</w:t>
      </w:r>
      <w:r w:rsidR="00980009">
        <w:rPr>
          <w:rFonts w:ascii="Times New Roman" w:hAnsi="Times New Roman" w:cs="Times New Roman"/>
          <w:sz w:val="24"/>
          <w:szCs w:val="24"/>
        </w:rPr>
        <w:t xml:space="preserve"> </w:t>
      </w:r>
      <w:r w:rsidRPr="00DE2EFF">
        <w:rPr>
          <w:rFonts w:ascii="Times New Roman" w:hAnsi="Times New Roman" w:cs="Times New Roman"/>
          <w:sz w:val="24"/>
          <w:szCs w:val="24"/>
        </w:rPr>
        <w:t>Ova aktivnost financira se iz izvora  52 jer dio sredstava osigurava nadležno ministarstvo.</w:t>
      </w:r>
    </w:p>
    <w:p w14:paraId="409A73B8" w14:textId="7A7EFF7B" w:rsidR="00684873" w:rsidRDefault="00684873" w:rsidP="00684873">
      <w:pPr>
        <w:pStyle w:val="ListParagraph"/>
        <w:numPr>
          <w:ilvl w:val="0"/>
          <w:numId w:val="27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4873">
        <w:rPr>
          <w:rFonts w:ascii="Times New Roman" w:hAnsi="Times New Roman" w:cs="Times New Roman"/>
          <w:b/>
          <w:bCs/>
          <w:sz w:val="24"/>
          <w:szCs w:val="24"/>
        </w:rPr>
        <w:t>Organiziranje i održavanje znanstvenih konferencija</w:t>
      </w:r>
    </w:p>
    <w:p w14:paraId="13D71633" w14:textId="36CA0417" w:rsidR="00684873" w:rsidRPr="00684873" w:rsidRDefault="00684873" w:rsidP="00684873">
      <w:pPr>
        <w:jc w:val="both"/>
        <w:rPr>
          <w:rFonts w:ascii="Times New Roman" w:hAnsi="Times New Roman" w:cs="Times New Roman"/>
          <w:sz w:val="24"/>
          <w:szCs w:val="24"/>
        </w:rPr>
      </w:pPr>
      <w:r w:rsidRPr="00684873">
        <w:rPr>
          <w:rFonts w:ascii="Times New Roman" w:hAnsi="Times New Roman" w:cs="Times New Roman"/>
          <w:sz w:val="24"/>
          <w:szCs w:val="24"/>
        </w:rPr>
        <w:t xml:space="preserve">Na ovoj podaktivnosti izvršeni su rashodi za </w:t>
      </w:r>
      <w:r>
        <w:rPr>
          <w:rFonts w:ascii="Times New Roman" w:hAnsi="Times New Roman" w:cs="Times New Roman"/>
          <w:sz w:val="24"/>
          <w:szCs w:val="24"/>
        </w:rPr>
        <w:t>organizaciju konferencije GNSS  Baški koja se održava svake druge godine, a iznose 5.957 EUR.</w:t>
      </w:r>
    </w:p>
    <w:p w14:paraId="7D1361AC" w14:textId="79B2D280" w:rsidR="00DE2EFF" w:rsidRPr="00DE2EFF" w:rsidRDefault="00684873" w:rsidP="00DE2E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DE2EFF" w:rsidRPr="00DE2EFF">
        <w:rPr>
          <w:rFonts w:ascii="Times New Roman" w:hAnsi="Times New Roman" w:cs="Times New Roman"/>
          <w:b/>
          <w:sz w:val="24"/>
          <w:szCs w:val="24"/>
        </w:rPr>
        <w:t>.</w:t>
      </w:r>
      <w:r w:rsidR="00DE2EFF" w:rsidRPr="00DE2EFF">
        <w:rPr>
          <w:rFonts w:ascii="Times New Roman" w:hAnsi="Times New Roman" w:cs="Times New Roman"/>
          <w:b/>
          <w:sz w:val="24"/>
          <w:szCs w:val="24"/>
        </w:rPr>
        <w:tab/>
        <w:t xml:space="preserve">Ostale nespomenute podaktivnosti </w:t>
      </w:r>
    </w:p>
    <w:p w14:paraId="6B970854" w14:textId="5A5E2953" w:rsidR="00DE2EFF" w:rsidRPr="00DE2EFF" w:rsidRDefault="00DE2EFF" w:rsidP="00DE2EFF">
      <w:pPr>
        <w:jc w:val="both"/>
        <w:rPr>
          <w:rFonts w:ascii="Times New Roman" w:hAnsi="Times New Roman" w:cs="Times New Roman"/>
          <w:sz w:val="24"/>
          <w:szCs w:val="24"/>
        </w:rPr>
      </w:pPr>
      <w:r w:rsidRPr="00DE2EFF">
        <w:rPr>
          <w:rFonts w:ascii="Times New Roman" w:hAnsi="Times New Roman" w:cs="Times New Roman"/>
          <w:sz w:val="24"/>
          <w:szCs w:val="24"/>
        </w:rPr>
        <w:t>U ostal</w:t>
      </w:r>
      <w:r w:rsidR="00385AB4">
        <w:rPr>
          <w:rFonts w:ascii="Times New Roman" w:hAnsi="Times New Roman" w:cs="Times New Roman"/>
          <w:sz w:val="24"/>
          <w:szCs w:val="24"/>
        </w:rPr>
        <w:t xml:space="preserve">im </w:t>
      </w:r>
      <w:r w:rsidRPr="00DE2EFF">
        <w:rPr>
          <w:rFonts w:ascii="Times New Roman" w:hAnsi="Times New Roman" w:cs="Times New Roman"/>
          <w:sz w:val="24"/>
          <w:szCs w:val="24"/>
        </w:rPr>
        <w:t>nespomenut</w:t>
      </w:r>
      <w:r w:rsidR="00385AB4">
        <w:rPr>
          <w:rFonts w:ascii="Times New Roman" w:hAnsi="Times New Roman" w:cs="Times New Roman"/>
          <w:sz w:val="24"/>
          <w:szCs w:val="24"/>
        </w:rPr>
        <w:t>im</w:t>
      </w:r>
      <w:r w:rsidRPr="00DE2EFF">
        <w:rPr>
          <w:rFonts w:ascii="Times New Roman" w:hAnsi="Times New Roman" w:cs="Times New Roman"/>
          <w:sz w:val="24"/>
          <w:szCs w:val="24"/>
        </w:rPr>
        <w:t xml:space="preserve"> podaktivnosti</w:t>
      </w:r>
      <w:r w:rsidR="00385AB4">
        <w:rPr>
          <w:rFonts w:ascii="Times New Roman" w:hAnsi="Times New Roman" w:cs="Times New Roman"/>
          <w:sz w:val="24"/>
          <w:szCs w:val="24"/>
        </w:rPr>
        <w:t>ma</w:t>
      </w:r>
      <w:r w:rsidRPr="00DE2EFF">
        <w:rPr>
          <w:rFonts w:ascii="Times New Roman" w:hAnsi="Times New Roman" w:cs="Times New Roman"/>
          <w:sz w:val="24"/>
          <w:szCs w:val="24"/>
        </w:rPr>
        <w:t xml:space="preserve"> </w:t>
      </w:r>
      <w:r w:rsidR="003D0F25">
        <w:rPr>
          <w:rFonts w:ascii="Times New Roman" w:hAnsi="Times New Roman" w:cs="Times New Roman"/>
          <w:sz w:val="24"/>
          <w:szCs w:val="24"/>
        </w:rPr>
        <w:t>izvršavaju</w:t>
      </w:r>
      <w:r w:rsidRPr="00DE2EFF">
        <w:rPr>
          <w:rFonts w:ascii="Times New Roman" w:hAnsi="Times New Roman" w:cs="Times New Roman"/>
          <w:sz w:val="24"/>
          <w:szCs w:val="24"/>
        </w:rPr>
        <w:t xml:space="preserve"> se rashodi </w:t>
      </w:r>
      <w:r w:rsidR="00BF2EDD">
        <w:rPr>
          <w:rFonts w:ascii="Times New Roman" w:hAnsi="Times New Roman" w:cs="Times New Roman"/>
          <w:sz w:val="24"/>
          <w:szCs w:val="24"/>
        </w:rPr>
        <w:t>na teret</w:t>
      </w:r>
      <w:r w:rsidRPr="00DE2EFF">
        <w:rPr>
          <w:rFonts w:ascii="Times New Roman" w:hAnsi="Times New Roman" w:cs="Times New Roman"/>
          <w:sz w:val="24"/>
          <w:szCs w:val="24"/>
        </w:rPr>
        <w:t xml:space="preserve"> prihoda </w:t>
      </w:r>
      <w:r w:rsidR="00BF2EDD">
        <w:rPr>
          <w:rFonts w:ascii="Times New Roman" w:hAnsi="Times New Roman" w:cs="Times New Roman"/>
          <w:sz w:val="24"/>
          <w:szCs w:val="24"/>
        </w:rPr>
        <w:t xml:space="preserve">koji preostanu </w:t>
      </w:r>
      <w:r w:rsidRPr="00DE2EFF">
        <w:rPr>
          <w:rFonts w:ascii="Times New Roman" w:hAnsi="Times New Roman" w:cs="Times New Roman"/>
          <w:sz w:val="24"/>
          <w:szCs w:val="24"/>
        </w:rPr>
        <w:t>od obavljanja poslova na tržištu i namjenskih prihoda.</w:t>
      </w:r>
      <w:r w:rsidR="006756CF">
        <w:rPr>
          <w:rFonts w:ascii="Times New Roman" w:hAnsi="Times New Roman" w:cs="Times New Roman"/>
          <w:sz w:val="24"/>
          <w:szCs w:val="24"/>
        </w:rPr>
        <w:t xml:space="preserve"> </w:t>
      </w:r>
      <w:r w:rsidR="006756CF" w:rsidRPr="00DE2EFF">
        <w:rPr>
          <w:rFonts w:ascii="Times New Roman" w:hAnsi="Times New Roman" w:cs="Times New Roman"/>
          <w:sz w:val="24"/>
          <w:szCs w:val="24"/>
        </w:rPr>
        <w:t xml:space="preserve">Ukupno je na ovoj podaktivnosti </w:t>
      </w:r>
      <w:r w:rsidR="006756CF">
        <w:rPr>
          <w:rFonts w:ascii="Times New Roman" w:hAnsi="Times New Roman" w:cs="Times New Roman"/>
          <w:sz w:val="24"/>
          <w:szCs w:val="24"/>
        </w:rPr>
        <w:t>izvršeno 581.890</w:t>
      </w:r>
      <w:r w:rsidR="006756CF" w:rsidRPr="00DE2EFF">
        <w:rPr>
          <w:rFonts w:ascii="Times New Roman" w:hAnsi="Times New Roman" w:cs="Times New Roman"/>
          <w:sz w:val="24"/>
          <w:szCs w:val="24"/>
        </w:rPr>
        <w:t xml:space="preserve"> EUR od čega je udio  rashod</w:t>
      </w:r>
      <w:r w:rsidR="006756CF">
        <w:rPr>
          <w:rFonts w:ascii="Times New Roman" w:hAnsi="Times New Roman" w:cs="Times New Roman"/>
          <w:sz w:val="24"/>
          <w:szCs w:val="24"/>
        </w:rPr>
        <w:t>a</w:t>
      </w:r>
      <w:r w:rsidR="006756CF" w:rsidRPr="00DE2EFF">
        <w:rPr>
          <w:rFonts w:ascii="Times New Roman" w:hAnsi="Times New Roman" w:cs="Times New Roman"/>
          <w:sz w:val="24"/>
          <w:szCs w:val="24"/>
        </w:rPr>
        <w:t xml:space="preserve"> za zaposlene </w:t>
      </w:r>
      <w:r w:rsidR="006756CF">
        <w:rPr>
          <w:rFonts w:ascii="Times New Roman" w:hAnsi="Times New Roman" w:cs="Times New Roman"/>
          <w:sz w:val="24"/>
          <w:szCs w:val="24"/>
        </w:rPr>
        <w:t>83,19</w:t>
      </w:r>
      <w:r w:rsidR="006756CF" w:rsidRPr="00DE2EFF">
        <w:rPr>
          <w:rFonts w:ascii="Times New Roman" w:hAnsi="Times New Roman" w:cs="Times New Roman"/>
          <w:sz w:val="24"/>
          <w:szCs w:val="24"/>
        </w:rPr>
        <w:t>%.</w:t>
      </w:r>
      <w:r w:rsidR="006756CF">
        <w:rPr>
          <w:rFonts w:ascii="Times New Roman" w:hAnsi="Times New Roman" w:cs="Times New Roman"/>
          <w:sz w:val="24"/>
          <w:szCs w:val="24"/>
        </w:rPr>
        <w:t xml:space="preserve"> Također</w:t>
      </w:r>
      <w:r w:rsidRPr="00DE2EFF">
        <w:rPr>
          <w:rFonts w:ascii="Times New Roman" w:hAnsi="Times New Roman" w:cs="Times New Roman"/>
          <w:sz w:val="24"/>
          <w:szCs w:val="24"/>
        </w:rPr>
        <w:t>, u ovoj podaktivnosti</w:t>
      </w:r>
      <w:r w:rsidR="00BF2EDD">
        <w:rPr>
          <w:rFonts w:ascii="Times New Roman" w:hAnsi="Times New Roman" w:cs="Times New Roman"/>
          <w:sz w:val="24"/>
          <w:szCs w:val="24"/>
        </w:rPr>
        <w:t xml:space="preserve"> </w:t>
      </w:r>
      <w:r w:rsidRPr="00DE2EFF">
        <w:rPr>
          <w:rFonts w:ascii="Times New Roman" w:hAnsi="Times New Roman" w:cs="Times New Roman"/>
          <w:sz w:val="24"/>
          <w:szCs w:val="24"/>
        </w:rPr>
        <w:t xml:space="preserve"> </w:t>
      </w:r>
      <w:r w:rsidR="003D0F25">
        <w:rPr>
          <w:rFonts w:ascii="Times New Roman" w:hAnsi="Times New Roman" w:cs="Times New Roman"/>
          <w:sz w:val="24"/>
          <w:szCs w:val="24"/>
        </w:rPr>
        <w:t>izvršavaju</w:t>
      </w:r>
      <w:r w:rsidRPr="00DE2EFF">
        <w:rPr>
          <w:rFonts w:ascii="Times New Roman" w:hAnsi="Times New Roman" w:cs="Times New Roman"/>
          <w:sz w:val="24"/>
          <w:szCs w:val="24"/>
        </w:rPr>
        <w:t xml:space="preserve"> </w:t>
      </w:r>
      <w:r w:rsidR="00BF2EDD">
        <w:rPr>
          <w:rFonts w:ascii="Times New Roman" w:hAnsi="Times New Roman" w:cs="Times New Roman"/>
          <w:sz w:val="24"/>
          <w:szCs w:val="24"/>
        </w:rPr>
        <w:t xml:space="preserve">se </w:t>
      </w:r>
      <w:r w:rsidRPr="00DE2EFF">
        <w:rPr>
          <w:rFonts w:ascii="Times New Roman" w:hAnsi="Times New Roman" w:cs="Times New Roman"/>
          <w:sz w:val="24"/>
          <w:szCs w:val="24"/>
        </w:rPr>
        <w:t>rashodi koji se financiraju iz prihoda od prodaje imovine, odnosno izvora 71 (prodaja stanova</w:t>
      </w:r>
      <w:r w:rsidR="00025339">
        <w:rPr>
          <w:rFonts w:ascii="Times New Roman" w:hAnsi="Times New Roman" w:cs="Times New Roman"/>
          <w:sz w:val="24"/>
          <w:szCs w:val="24"/>
        </w:rPr>
        <w:t xml:space="preserve"> zaposlenicima</w:t>
      </w:r>
      <w:r w:rsidRPr="00DE2EFF">
        <w:rPr>
          <w:rFonts w:ascii="Times New Roman" w:hAnsi="Times New Roman" w:cs="Times New Roman"/>
          <w:sz w:val="24"/>
          <w:szCs w:val="24"/>
        </w:rPr>
        <w:t>)</w:t>
      </w:r>
      <w:r w:rsidR="003D0F25">
        <w:rPr>
          <w:rFonts w:ascii="Times New Roman" w:hAnsi="Times New Roman" w:cs="Times New Roman"/>
          <w:sz w:val="24"/>
          <w:szCs w:val="24"/>
        </w:rPr>
        <w:t xml:space="preserve"> kao i</w:t>
      </w:r>
      <w:r w:rsidR="00385AB4">
        <w:rPr>
          <w:rFonts w:ascii="Times New Roman" w:hAnsi="Times New Roman" w:cs="Times New Roman"/>
          <w:sz w:val="24"/>
          <w:szCs w:val="24"/>
        </w:rPr>
        <w:t xml:space="preserve"> od</w:t>
      </w:r>
      <w:r w:rsidR="003D0F25">
        <w:rPr>
          <w:rFonts w:ascii="Times New Roman" w:hAnsi="Times New Roman" w:cs="Times New Roman"/>
          <w:sz w:val="24"/>
          <w:szCs w:val="24"/>
        </w:rPr>
        <w:t xml:space="preserve"> </w:t>
      </w:r>
      <w:r w:rsidR="00385AB4">
        <w:rPr>
          <w:rFonts w:ascii="Times New Roman" w:hAnsi="Times New Roman" w:cs="Times New Roman"/>
          <w:sz w:val="24"/>
          <w:szCs w:val="24"/>
        </w:rPr>
        <w:t>prihoda</w:t>
      </w:r>
      <w:r w:rsidR="003D0F25">
        <w:rPr>
          <w:rFonts w:ascii="Times New Roman" w:hAnsi="Times New Roman" w:cs="Times New Roman"/>
          <w:sz w:val="24"/>
          <w:szCs w:val="24"/>
        </w:rPr>
        <w:t xml:space="preserve"> od donacija od trgovačkih društava za podmirenje troškova redovitog poslovanja</w:t>
      </w:r>
      <w:r w:rsidRPr="00DE2EFF">
        <w:rPr>
          <w:rFonts w:ascii="Times New Roman" w:hAnsi="Times New Roman" w:cs="Times New Roman"/>
          <w:sz w:val="24"/>
          <w:szCs w:val="24"/>
        </w:rPr>
        <w:t xml:space="preserve">. </w:t>
      </w:r>
    </w:p>
    <w:bookmarkEnd w:id="19"/>
    <w:p w14:paraId="1C2780AB" w14:textId="77777777" w:rsidR="00333241" w:rsidRDefault="00333241" w:rsidP="00333241">
      <w:pPr>
        <w:pStyle w:val="ListParagraph"/>
        <w:ind w:left="92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F37FC0C" w14:textId="77777777" w:rsidR="006756CF" w:rsidRDefault="006756CF" w:rsidP="00333241">
      <w:pPr>
        <w:pStyle w:val="ListParagraph"/>
        <w:ind w:left="92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BD7347D" w14:textId="77777777" w:rsidR="006756CF" w:rsidRDefault="006756CF" w:rsidP="00333241">
      <w:pPr>
        <w:pStyle w:val="ListParagraph"/>
        <w:ind w:left="92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00F41AF" w14:textId="77777777" w:rsidR="006756CF" w:rsidRDefault="006756CF" w:rsidP="00333241">
      <w:pPr>
        <w:pStyle w:val="ListParagraph"/>
        <w:ind w:left="92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7211EE5" w14:textId="77777777" w:rsidR="006756CF" w:rsidRDefault="006756CF" w:rsidP="00333241">
      <w:pPr>
        <w:pStyle w:val="ListParagraph"/>
        <w:ind w:left="92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AF438A5" w14:textId="77777777" w:rsidR="006756CF" w:rsidRDefault="006756CF" w:rsidP="00333241">
      <w:pPr>
        <w:pStyle w:val="ListParagraph"/>
        <w:ind w:left="92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ACFDB3D" w14:textId="77777777" w:rsidR="006756CF" w:rsidRPr="001A5B94" w:rsidRDefault="006756CF" w:rsidP="00333241">
      <w:pPr>
        <w:pStyle w:val="ListParagraph"/>
        <w:ind w:left="92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27FE73B" w14:textId="77777777" w:rsidR="008876CE" w:rsidRPr="001A5B94" w:rsidRDefault="008876CE" w:rsidP="008876CE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0" w:name="_Hlk53752717"/>
      <w:r w:rsidRPr="001A5B94">
        <w:rPr>
          <w:rFonts w:ascii="Times New Roman" w:hAnsi="Times New Roman" w:cs="Times New Roman"/>
          <w:b/>
          <w:sz w:val="28"/>
          <w:szCs w:val="28"/>
        </w:rPr>
        <w:lastRenderedPageBreak/>
        <w:t>A679072 EU projekti Sveučilišta u Rijeci (iz evidencijskih prihoda)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3"/>
        <w:gridCol w:w="1251"/>
        <w:gridCol w:w="1251"/>
        <w:gridCol w:w="1251"/>
        <w:gridCol w:w="1250"/>
        <w:gridCol w:w="1251"/>
        <w:gridCol w:w="1165"/>
      </w:tblGrid>
      <w:tr w:rsidR="005A0ABE" w:rsidRPr="001A5B94" w14:paraId="5460141F" w14:textId="77777777" w:rsidTr="00D02775">
        <w:tc>
          <w:tcPr>
            <w:tcW w:w="1643" w:type="dxa"/>
            <w:shd w:val="clear" w:color="auto" w:fill="D0CECE" w:themeFill="background2" w:themeFillShade="E6"/>
          </w:tcPr>
          <w:p w14:paraId="6FD6845E" w14:textId="77777777" w:rsidR="005A0ABE" w:rsidRPr="001A5B94" w:rsidRDefault="005A0ABE" w:rsidP="005A0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_Hlk158280907"/>
            <w:bookmarkEnd w:id="20"/>
          </w:p>
          <w:p w14:paraId="13A1045C" w14:textId="77777777" w:rsidR="005A0ABE" w:rsidRPr="001A5B94" w:rsidRDefault="005A0ABE" w:rsidP="005A0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shd w:val="clear" w:color="auto" w:fill="D0CECE" w:themeFill="background2" w:themeFillShade="E6"/>
            <w:vAlign w:val="center"/>
          </w:tcPr>
          <w:p w14:paraId="2330FACA" w14:textId="54CC11A0" w:rsidR="005A0ABE" w:rsidRPr="001A5B94" w:rsidRDefault="005A0ABE" w:rsidP="005A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>Izvršenje 202</w:t>
            </w:r>
            <w:r w:rsidR="006514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1" w:type="dxa"/>
            <w:shd w:val="clear" w:color="auto" w:fill="D0CECE" w:themeFill="background2" w:themeFillShade="E6"/>
            <w:vAlign w:val="center"/>
          </w:tcPr>
          <w:p w14:paraId="2911E828" w14:textId="5B93AAED" w:rsidR="005A0ABE" w:rsidRPr="001A5B94" w:rsidRDefault="005A0ABE" w:rsidP="005A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6514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1" w:type="dxa"/>
            <w:shd w:val="clear" w:color="auto" w:fill="D0CECE" w:themeFill="background2" w:themeFillShade="E6"/>
            <w:vAlign w:val="center"/>
          </w:tcPr>
          <w:p w14:paraId="2F041907" w14:textId="6CA998D9" w:rsidR="005A0ABE" w:rsidRPr="001A5B94" w:rsidRDefault="005A0ABE" w:rsidP="005A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Rebalans</w:t>
            </w: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6514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0" w:type="dxa"/>
            <w:shd w:val="clear" w:color="auto" w:fill="D0CECE" w:themeFill="background2" w:themeFillShade="E6"/>
            <w:vAlign w:val="center"/>
          </w:tcPr>
          <w:p w14:paraId="4B40FADB" w14:textId="26186919" w:rsidR="005A0ABE" w:rsidRPr="001A5B94" w:rsidRDefault="005A0ABE" w:rsidP="005A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Izvršenje 202</w:t>
            </w:r>
            <w:r w:rsidR="006514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1" w:type="dxa"/>
            <w:shd w:val="clear" w:color="auto" w:fill="D0CECE" w:themeFill="background2" w:themeFillShade="E6"/>
            <w:vAlign w:val="center"/>
          </w:tcPr>
          <w:p w14:paraId="16E4912E" w14:textId="77777777" w:rsidR="005A0ABE" w:rsidRPr="001A5B94" w:rsidRDefault="005A0ABE" w:rsidP="005A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Indeks </w:t>
            </w:r>
            <w:r w:rsidRPr="00390036">
              <w:rPr>
                <w:rFonts w:ascii="Times New Roman" w:hAnsi="Times New Roman" w:cs="Times New Roman"/>
                <w:sz w:val="20"/>
                <w:szCs w:val="20"/>
              </w:rPr>
              <w:t>5/2*100</w:t>
            </w:r>
          </w:p>
        </w:tc>
        <w:tc>
          <w:tcPr>
            <w:tcW w:w="1165" w:type="dxa"/>
            <w:shd w:val="clear" w:color="auto" w:fill="D0CECE" w:themeFill="background2" w:themeFillShade="E6"/>
            <w:vAlign w:val="center"/>
          </w:tcPr>
          <w:p w14:paraId="59A26195" w14:textId="77777777" w:rsidR="005A0ABE" w:rsidRDefault="005A0ABE" w:rsidP="005A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>Indeks</w:t>
            </w:r>
          </w:p>
          <w:p w14:paraId="45868318" w14:textId="77777777" w:rsidR="005A0ABE" w:rsidRPr="00390036" w:rsidRDefault="005A0ABE" w:rsidP="005A0A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036">
              <w:rPr>
                <w:rFonts w:ascii="Times New Roman" w:hAnsi="Times New Roman" w:cs="Times New Roman"/>
                <w:sz w:val="20"/>
                <w:szCs w:val="20"/>
              </w:rPr>
              <w:t>5/4*100</w:t>
            </w:r>
          </w:p>
        </w:tc>
      </w:tr>
      <w:tr w:rsidR="00390036" w:rsidRPr="001A5B94" w14:paraId="156300DB" w14:textId="77777777" w:rsidTr="00D02775">
        <w:trPr>
          <w:trHeight w:val="58"/>
        </w:trPr>
        <w:tc>
          <w:tcPr>
            <w:tcW w:w="1643" w:type="dxa"/>
            <w:shd w:val="clear" w:color="auto" w:fill="D0CECE" w:themeFill="background2" w:themeFillShade="E6"/>
          </w:tcPr>
          <w:p w14:paraId="04F0D264" w14:textId="77777777" w:rsidR="00390036" w:rsidRPr="00390036" w:rsidRDefault="00390036" w:rsidP="00D02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03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1" w:type="dxa"/>
            <w:shd w:val="clear" w:color="auto" w:fill="D0CECE" w:themeFill="background2" w:themeFillShade="E6"/>
            <w:vAlign w:val="center"/>
          </w:tcPr>
          <w:p w14:paraId="25C3F3BD" w14:textId="77777777" w:rsidR="00390036" w:rsidRPr="00390036" w:rsidRDefault="00390036" w:rsidP="00D02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03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51" w:type="dxa"/>
            <w:shd w:val="clear" w:color="auto" w:fill="D0CECE" w:themeFill="background2" w:themeFillShade="E6"/>
            <w:vAlign w:val="center"/>
          </w:tcPr>
          <w:p w14:paraId="696A4FFB" w14:textId="77777777" w:rsidR="00390036" w:rsidRPr="00390036" w:rsidRDefault="00390036" w:rsidP="00D02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03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51" w:type="dxa"/>
            <w:shd w:val="clear" w:color="auto" w:fill="D0CECE" w:themeFill="background2" w:themeFillShade="E6"/>
            <w:vAlign w:val="center"/>
          </w:tcPr>
          <w:p w14:paraId="2E8B4479" w14:textId="77777777" w:rsidR="00390036" w:rsidRPr="00390036" w:rsidRDefault="00390036" w:rsidP="00D02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03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50" w:type="dxa"/>
            <w:shd w:val="clear" w:color="auto" w:fill="D0CECE" w:themeFill="background2" w:themeFillShade="E6"/>
            <w:vAlign w:val="center"/>
          </w:tcPr>
          <w:p w14:paraId="2FCEAC33" w14:textId="77777777" w:rsidR="00390036" w:rsidRPr="00390036" w:rsidRDefault="00390036" w:rsidP="00D02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03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51" w:type="dxa"/>
            <w:shd w:val="clear" w:color="auto" w:fill="D0CECE" w:themeFill="background2" w:themeFillShade="E6"/>
            <w:vAlign w:val="center"/>
          </w:tcPr>
          <w:p w14:paraId="26B0FCFE" w14:textId="77777777" w:rsidR="00390036" w:rsidRPr="00390036" w:rsidRDefault="00390036" w:rsidP="00D02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03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65" w:type="dxa"/>
            <w:shd w:val="clear" w:color="auto" w:fill="D0CECE" w:themeFill="background2" w:themeFillShade="E6"/>
            <w:vAlign w:val="center"/>
          </w:tcPr>
          <w:p w14:paraId="6EE6554B" w14:textId="77777777" w:rsidR="00390036" w:rsidRPr="00390036" w:rsidRDefault="00390036" w:rsidP="00D02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03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BC529D" w:rsidRPr="00777540" w14:paraId="6EB6609B" w14:textId="77777777" w:rsidTr="00D02775">
        <w:tc>
          <w:tcPr>
            <w:tcW w:w="1643" w:type="dxa"/>
          </w:tcPr>
          <w:p w14:paraId="12248689" w14:textId="77777777" w:rsidR="00BC529D" w:rsidRPr="001A5B94" w:rsidRDefault="00BC529D" w:rsidP="007775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>A679072</w:t>
            </w:r>
          </w:p>
        </w:tc>
        <w:tc>
          <w:tcPr>
            <w:tcW w:w="1251" w:type="dxa"/>
          </w:tcPr>
          <w:p w14:paraId="1E49F95B" w14:textId="5531E909" w:rsidR="00BC529D" w:rsidRPr="001A5B94" w:rsidRDefault="00BC529D" w:rsidP="00BC52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654">
              <w:rPr>
                <w:rFonts w:ascii="Times New Roman" w:hAnsi="Times New Roman" w:cs="Times New Roman"/>
                <w:sz w:val="24"/>
                <w:szCs w:val="24"/>
              </w:rPr>
              <w:t>778.476</w:t>
            </w:r>
          </w:p>
        </w:tc>
        <w:tc>
          <w:tcPr>
            <w:tcW w:w="1251" w:type="dxa"/>
          </w:tcPr>
          <w:p w14:paraId="16EFEBC2" w14:textId="09891408" w:rsidR="00BC529D" w:rsidRPr="001A5B94" w:rsidRDefault="00BC529D" w:rsidP="00BC52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540">
              <w:rPr>
                <w:rFonts w:ascii="Times New Roman" w:hAnsi="Times New Roman" w:cs="Times New Roman"/>
                <w:sz w:val="24"/>
                <w:szCs w:val="24"/>
              </w:rPr>
              <w:t>745.802</w:t>
            </w:r>
          </w:p>
        </w:tc>
        <w:tc>
          <w:tcPr>
            <w:tcW w:w="1251" w:type="dxa"/>
          </w:tcPr>
          <w:p w14:paraId="0D3420D6" w14:textId="6AD23372" w:rsidR="00BC529D" w:rsidRPr="001A5B94" w:rsidRDefault="00BC529D" w:rsidP="00BC52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540">
              <w:rPr>
                <w:rFonts w:ascii="Times New Roman" w:hAnsi="Times New Roman" w:cs="Times New Roman"/>
                <w:sz w:val="24"/>
                <w:szCs w:val="24"/>
              </w:rPr>
              <w:t>1.176.408</w:t>
            </w:r>
          </w:p>
        </w:tc>
        <w:tc>
          <w:tcPr>
            <w:tcW w:w="1250" w:type="dxa"/>
          </w:tcPr>
          <w:p w14:paraId="23DC5D6D" w14:textId="3CE1F7B6" w:rsidR="00BC529D" w:rsidRPr="001A5B94" w:rsidRDefault="00BC529D" w:rsidP="00BC52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540">
              <w:rPr>
                <w:rFonts w:ascii="Times New Roman" w:hAnsi="Times New Roman" w:cs="Times New Roman"/>
                <w:sz w:val="24"/>
                <w:szCs w:val="24"/>
              </w:rPr>
              <w:t>1.432.528</w:t>
            </w:r>
          </w:p>
        </w:tc>
        <w:tc>
          <w:tcPr>
            <w:tcW w:w="1251" w:type="dxa"/>
          </w:tcPr>
          <w:p w14:paraId="57F8F477" w14:textId="6617385F" w:rsidR="00BC529D" w:rsidRPr="001A5B94" w:rsidRDefault="00EB34D2" w:rsidP="007775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184,01</w:t>
            </w:r>
          </w:p>
        </w:tc>
        <w:tc>
          <w:tcPr>
            <w:tcW w:w="1165" w:type="dxa"/>
          </w:tcPr>
          <w:p w14:paraId="04C75938" w14:textId="5BD62CD9" w:rsidR="00BC529D" w:rsidRPr="001A5B94" w:rsidRDefault="00EB34D2" w:rsidP="007775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121,77</w:t>
            </w:r>
          </w:p>
        </w:tc>
      </w:tr>
      <w:bookmarkEnd w:id="21"/>
    </w:tbl>
    <w:p w14:paraId="7C2E71C7" w14:textId="77777777" w:rsidR="00777540" w:rsidRDefault="00777540" w:rsidP="0077754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A4FB0A" w14:textId="03B87669" w:rsidR="001F73FC" w:rsidRPr="001F73FC" w:rsidRDefault="001F73FC" w:rsidP="007775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3FC">
        <w:rPr>
          <w:rFonts w:ascii="Times New Roman" w:hAnsi="Times New Roman" w:cs="Times New Roman"/>
          <w:sz w:val="24"/>
          <w:szCs w:val="24"/>
        </w:rPr>
        <w:t>Aktivnost EU projek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F73FC">
        <w:rPr>
          <w:rFonts w:ascii="Times New Roman" w:hAnsi="Times New Roman" w:cs="Times New Roman"/>
          <w:sz w:val="24"/>
          <w:szCs w:val="24"/>
        </w:rPr>
        <w:t xml:space="preserve">ta izvršena je </w:t>
      </w:r>
      <w:r w:rsidR="00EB34D2">
        <w:rPr>
          <w:rFonts w:ascii="Times New Roman" w:hAnsi="Times New Roman" w:cs="Times New Roman"/>
          <w:sz w:val="24"/>
          <w:szCs w:val="24"/>
        </w:rPr>
        <w:t>21,77</w:t>
      </w:r>
      <w:r w:rsidRPr="001F73FC">
        <w:rPr>
          <w:rFonts w:ascii="Times New Roman" w:hAnsi="Times New Roman" w:cs="Times New Roman"/>
          <w:sz w:val="24"/>
          <w:szCs w:val="24"/>
        </w:rPr>
        <w:t>% više u odnosu na tekući plan za 202</w:t>
      </w:r>
      <w:r w:rsidR="0065147C">
        <w:rPr>
          <w:rFonts w:ascii="Times New Roman" w:hAnsi="Times New Roman" w:cs="Times New Roman"/>
          <w:sz w:val="24"/>
          <w:szCs w:val="24"/>
        </w:rPr>
        <w:t>5</w:t>
      </w:r>
      <w:r w:rsidRPr="001F73FC">
        <w:rPr>
          <w:rFonts w:ascii="Times New Roman" w:hAnsi="Times New Roman" w:cs="Times New Roman"/>
          <w:sz w:val="24"/>
          <w:szCs w:val="24"/>
        </w:rPr>
        <w:t xml:space="preserve">. godinu najvećim dijelom kao rezultat doznačenih sredstava po ZNS-u </w:t>
      </w:r>
      <w:r>
        <w:rPr>
          <w:rFonts w:ascii="Times New Roman" w:hAnsi="Times New Roman" w:cs="Times New Roman"/>
          <w:sz w:val="24"/>
          <w:szCs w:val="24"/>
        </w:rPr>
        <w:t xml:space="preserve">za projekt TransH2 </w:t>
      </w:r>
      <w:r w:rsidRPr="001F73FC">
        <w:rPr>
          <w:rFonts w:ascii="Times New Roman" w:hAnsi="Times New Roman" w:cs="Times New Roman"/>
          <w:sz w:val="24"/>
          <w:szCs w:val="24"/>
        </w:rPr>
        <w:t>pristiglih na samom kraju godine</w:t>
      </w:r>
      <w:r>
        <w:rPr>
          <w:rFonts w:ascii="Times New Roman" w:hAnsi="Times New Roman" w:cs="Times New Roman"/>
          <w:sz w:val="24"/>
          <w:szCs w:val="24"/>
        </w:rPr>
        <w:t xml:space="preserve">, temeljem kojih su se sredstva doznačila partnerima na projektu i teretila rashode. </w:t>
      </w:r>
    </w:p>
    <w:p w14:paraId="053F9BA8" w14:textId="77777777" w:rsidR="000D7E33" w:rsidRPr="001A5B94" w:rsidRDefault="000D7E33" w:rsidP="000D7E33">
      <w:pPr>
        <w:spacing w:before="2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A5B94">
        <w:rPr>
          <w:rFonts w:ascii="Times New Roman" w:hAnsi="Times New Roman" w:cs="Times New Roman"/>
          <w:i/>
          <w:sz w:val="24"/>
          <w:szCs w:val="24"/>
        </w:rPr>
        <w:t xml:space="preserve">Ova aktivnost sastoji se od </w:t>
      </w:r>
      <w:r w:rsidR="006B3F90" w:rsidRPr="001A5B94">
        <w:rPr>
          <w:rFonts w:ascii="Times New Roman" w:hAnsi="Times New Roman" w:cs="Times New Roman"/>
          <w:i/>
          <w:sz w:val="24"/>
          <w:szCs w:val="24"/>
        </w:rPr>
        <w:t xml:space="preserve">troškova implementacije </w:t>
      </w:r>
      <w:r w:rsidR="00107352" w:rsidRPr="001A5B94">
        <w:rPr>
          <w:rFonts w:ascii="Times New Roman" w:hAnsi="Times New Roman" w:cs="Times New Roman"/>
          <w:i/>
          <w:sz w:val="24"/>
          <w:szCs w:val="24"/>
        </w:rPr>
        <w:t xml:space="preserve">sljedećih </w:t>
      </w:r>
      <w:r w:rsidRPr="001A5B94">
        <w:rPr>
          <w:rFonts w:ascii="Times New Roman" w:hAnsi="Times New Roman" w:cs="Times New Roman"/>
          <w:i/>
          <w:sz w:val="24"/>
          <w:szCs w:val="24"/>
        </w:rPr>
        <w:t xml:space="preserve">EU </w:t>
      </w:r>
      <w:r w:rsidR="00B4760A" w:rsidRPr="001A5B94">
        <w:rPr>
          <w:rFonts w:ascii="Times New Roman" w:hAnsi="Times New Roman" w:cs="Times New Roman"/>
          <w:i/>
          <w:sz w:val="24"/>
          <w:szCs w:val="24"/>
        </w:rPr>
        <w:t>pod</w:t>
      </w:r>
      <w:r w:rsidRPr="001A5B94">
        <w:rPr>
          <w:rFonts w:ascii="Times New Roman" w:hAnsi="Times New Roman" w:cs="Times New Roman"/>
          <w:i/>
          <w:sz w:val="24"/>
          <w:szCs w:val="24"/>
        </w:rPr>
        <w:t>projekata:</w:t>
      </w:r>
    </w:p>
    <w:p w14:paraId="1BE8393D" w14:textId="77777777" w:rsidR="00025339" w:rsidRPr="00025339" w:rsidRDefault="00651EF8" w:rsidP="00025339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A679072.188 (Horizon Europe) SafeNav - Safe Navigation </w:t>
      </w:r>
      <w:r w:rsidR="00025339" w:rsidRPr="00025339">
        <w:rPr>
          <w:rFonts w:ascii="Times New Roman" w:eastAsia="Times New Roman" w:hAnsi="Times New Roman" w:cs="Times New Roman"/>
          <w:sz w:val="24"/>
          <w:szCs w:val="24"/>
          <w:lang w:eastAsia="en-GB"/>
        </w:rPr>
        <w:t>Safe, Resilient Transport and Smart</w:t>
      </w:r>
    </w:p>
    <w:p w14:paraId="74433A85" w14:textId="36E89D59" w:rsidR="00651EF8" w:rsidRPr="0053393F" w:rsidRDefault="00025339" w:rsidP="00025339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25339">
        <w:rPr>
          <w:rFonts w:ascii="Times New Roman" w:eastAsia="Times New Roman" w:hAnsi="Times New Roman" w:cs="Times New Roman"/>
          <w:sz w:val="24"/>
          <w:szCs w:val="24"/>
          <w:lang w:eastAsia="en-GB"/>
        </w:rPr>
        <w:t>Mobility services for passengers and goods</w:t>
      </w:r>
    </w:p>
    <w:p w14:paraId="5228ECE3" w14:textId="77777777" w:rsidR="00651EF8" w:rsidRPr="0053393F" w:rsidRDefault="00651EF8" w:rsidP="0053393F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A679072.175 (Horizon Europe) INNO2MARE - Strengthening the capacity for excellence of Slovenian and Croatian innovation ecosystems to support the digital and green transitions of maritime regions  </w:t>
      </w:r>
      <w:bookmarkStart w:id="22" w:name="_Hlk146621339"/>
    </w:p>
    <w:bookmarkEnd w:id="22"/>
    <w:p w14:paraId="0714A1F3" w14:textId="77777777" w:rsidR="00A132E9" w:rsidRPr="0053393F" w:rsidRDefault="00651EF8" w:rsidP="0053393F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A679072.187 (Horizon Europe) Healthy Sailing - Prevention, mitigation, management of infectious diseases on cruise ships and passenger ferries </w:t>
      </w:r>
    </w:p>
    <w:p w14:paraId="3D95A6D1" w14:textId="41525C82" w:rsidR="00651EF8" w:rsidRDefault="00651EF8" w:rsidP="0053393F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>A679072.</w:t>
      </w:r>
      <w:r w:rsidR="00B644EE"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>198</w:t>
      </w:r>
      <w:r w:rsidR="004D27C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>(Horizon Europe) ATLANTIS – Improved Resilience of Critical Infrastructures Against Large Scale Transnational and Systemic Risks</w:t>
      </w:r>
    </w:p>
    <w:p w14:paraId="7EE2B0C2" w14:textId="3BACC5DB" w:rsidR="0054688B" w:rsidRPr="0053393F" w:rsidRDefault="0054688B" w:rsidP="0053393F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4688B">
        <w:rPr>
          <w:rFonts w:ascii="Times New Roman" w:eastAsia="Times New Roman" w:hAnsi="Times New Roman" w:cs="Times New Roman"/>
          <w:sz w:val="24"/>
          <w:szCs w:val="24"/>
          <w:lang w:eastAsia="en-GB"/>
        </w:rPr>
        <w:t>A679072. Novi podprojekt BIO INTEL-MOB Horizon (Integrating Sustainable Mobility and Logistics with Citizen-centric Intelligent Solutions for Safe, Smart, Green, Resilient, and Inclusive Cities)</w:t>
      </w:r>
    </w:p>
    <w:p w14:paraId="312D7AF7" w14:textId="77777777" w:rsidR="00651EF8" w:rsidRPr="0053393F" w:rsidRDefault="00651EF8" w:rsidP="0053393F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>A679072</w:t>
      </w:r>
      <w:r w:rsidR="004D27C2">
        <w:rPr>
          <w:rFonts w:ascii="Times New Roman" w:eastAsia="Times New Roman" w:hAnsi="Times New Roman" w:cs="Times New Roman"/>
          <w:sz w:val="24"/>
          <w:szCs w:val="24"/>
          <w:lang w:eastAsia="en-GB"/>
        </w:rPr>
        <w:t>.</w:t>
      </w:r>
      <w:r w:rsidR="00B644EE"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>199</w:t>
      </w:r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</w:t>
      </w:r>
      <w:r w:rsidRPr="0053393F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EMFAF-2023-BlueCareers</w:t>
      </w:r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Next Blue Generation </w:t>
      </w:r>
    </w:p>
    <w:p w14:paraId="7700099D" w14:textId="54174CCC" w:rsidR="0053393F" w:rsidRPr="0053393F" w:rsidRDefault="0053393F" w:rsidP="0053393F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bookmarkStart w:id="23" w:name="_Hlk146620192"/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>A679072.202 (Interreg Italija Hrvatska) ZEAS (Ferry demonstrator for the switch to safe use of sustainable climate neutral fuels in Adriatic – Zero Emission Adriatic Ships)</w:t>
      </w:r>
    </w:p>
    <w:bookmarkEnd w:id="23"/>
    <w:p w14:paraId="577DCDF6" w14:textId="77777777" w:rsidR="001744A1" w:rsidRPr="0053393F" w:rsidRDefault="001744A1" w:rsidP="0053393F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>A679072. Novi podprojekt (Interreg EUR Med) FRED - Fire Free MED</w:t>
      </w:r>
    </w:p>
    <w:p w14:paraId="10532F03" w14:textId="77777777" w:rsidR="001744A1" w:rsidRPr="0053393F" w:rsidRDefault="001744A1" w:rsidP="0053393F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>A679072. Novi podprojekt (Interreg Italija Hrvatska) BEST4.0 (Blue Economy Sectors Digital Transformation towards Industry 4.0)</w:t>
      </w:r>
    </w:p>
    <w:p w14:paraId="623F34FE" w14:textId="77777777" w:rsidR="001744A1" w:rsidRPr="0053393F" w:rsidRDefault="001744A1" w:rsidP="0053393F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>A679072. Novi podprojekt (Interreg Italija Hrvatska) TransH2 (Transition to Hydrogen Fuelled Cross-Border SeaMobility)</w:t>
      </w:r>
    </w:p>
    <w:p w14:paraId="2DE0E93D" w14:textId="77777777" w:rsidR="001744A1" w:rsidRDefault="001744A1" w:rsidP="0053393F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>A679072. Novi podprojekt (Interreg Italija Hrvatska) TOFOLA (Tourism in the Forest and green Lagoons of the Adriatic through historical wooden boats)</w:t>
      </w:r>
    </w:p>
    <w:p w14:paraId="2BF10B57" w14:textId="1376AE24" w:rsidR="0054688B" w:rsidRPr="0053393F" w:rsidRDefault="0054688B" w:rsidP="0053393F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4688B">
        <w:rPr>
          <w:rFonts w:ascii="Times New Roman" w:eastAsia="Times New Roman" w:hAnsi="Times New Roman" w:cs="Times New Roman"/>
          <w:sz w:val="24"/>
          <w:szCs w:val="24"/>
          <w:lang w:eastAsia="en-GB"/>
        </w:rPr>
        <w:t>A679072. Novi podprojekt (Interreg Italija Hrvatska) PRESPORT (PRomoting grEen and Smart PORT hubs in the Adriatic Sea)</w:t>
      </w:r>
    </w:p>
    <w:p w14:paraId="1BB68711" w14:textId="77777777" w:rsidR="001744A1" w:rsidRDefault="00B644EE" w:rsidP="0053393F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>A679072. Novi podprojekt (Erasmus+) GREENPORT (GREENPORT Alliances)</w:t>
      </w:r>
    </w:p>
    <w:p w14:paraId="334AD8D7" w14:textId="77777777" w:rsidR="0054688B" w:rsidRPr="0054688B" w:rsidRDefault="0054688B" w:rsidP="0054688B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4688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A679072.200 (Erasmus+) UMTMS – The Usage of Multipurpose Tasks in Maritime Simulation </w:t>
      </w:r>
    </w:p>
    <w:p w14:paraId="596D8021" w14:textId="77777777" w:rsidR="0054688B" w:rsidRPr="0054688B" w:rsidRDefault="0054688B" w:rsidP="0054688B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4688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A679072. 201 (Erasmus+) MASK - Marine Robots for Better Sea Knowledge Awareness </w:t>
      </w:r>
    </w:p>
    <w:p w14:paraId="58D94B87" w14:textId="77777777" w:rsidR="0054688B" w:rsidRPr="0054688B" w:rsidRDefault="0054688B" w:rsidP="0054688B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4688B">
        <w:rPr>
          <w:rFonts w:ascii="Times New Roman" w:eastAsia="Times New Roman" w:hAnsi="Times New Roman" w:cs="Times New Roman"/>
          <w:sz w:val="24"/>
          <w:szCs w:val="24"/>
          <w:lang w:eastAsia="en-GB"/>
        </w:rPr>
        <w:t>A679072.Novi podprojekt (DigiMar Erasmus+) - Digital Education for Maritime Communication</w:t>
      </w:r>
    </w:p>
    <w:p w14:paraId="44685391" w14:textId="3D417325" w:rsidR="0053393F" w:rsidRDefault="00B644EE" w:rsidP="0053393F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>A679</w:t>
      </w:r>
      <w:r w:rsidR="004D27C2">
        <w:rPr>
          <w:rFonts w:ascii="Times New Roman" w:eastAsia="Times New Roman" w:hAnsi="Times New Roman" w:cs="Times New Roman"/>
          <w:sz w:val="24"/>
          <w:szCs w:val="24"/>
          <w:lang w:eastAsia="en-GB"/>
        </w:rPr>
        <w:t>0</w:t>
      </w:r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>72.</w:t>
      </w:r>
      <w:r w:rsidR="004D27C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Novi podprojekt </w:t>
      </w:r>
      <w:r w:rsidR="006756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(Erasmus+) </w:t>
      </w:r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>Seafarers experience appealing for shore (Sea4Shore)</w:t>
      </w:r>
    </w:p>
    <w:p w14:paraId="05C55CD2" w14:textId="54A45988" w:rsidR="0054688B" w:rsidRDefault="0054688B" w:rsidP="0053393F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4688B">
        <w:rPr>
          <w:rFonts w:ascii="Times New Roman" w:eastAsia="Times New Roman" w:hAnsi="Times New Roman" w:cs="Times New Roman"/>
          <w:sz w:val="24"/>
          <w:szCs w:val="24"/>
          <w:lang w:eastAsia="en-GB"/>
        </w:rPr>
        <w:t>A679072. Novi podp</w:t>
      </w:r>
      <w:r w:rsidR="006756CF">
        <w:rPr>
          <w:rFonts w:ascii="Times New Roman" w:eastAsia="Times New Roman" w:hAnsi="Times New Roman" w:cs="Times New Roman"/>
          <w:sz w:val="24"/>
          <w:szCs w:val="24"/>
          <w:lang w:eastAsia="en-GB"/>
        </w:rPr>
        <w:t>r</w:t>
      </w:r>
      <w:r w:rsidRPr="0054688B">
        <w:rPr>
          <w:rFonts w:ascii="Times New Roman" w:eastAsia="Times New Roman" w:hAnsi="Times New Roman" w:cs="Times New Roman"/>
          <w:sz w:val="24"/>
          <w:szCs w:val="24"/>
          <w:lang w:eastAsia="en-GB"/>
        </w:rPr>
        <w:t>ojekt</w:t>
      </w:r>
      <w:r w:rsidR="006756CF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(Erasmus+)</w:t>
      </w:r>
      <w:r w:rsidRPr="0054688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PraC-MARENG Plus (PRActical and Communication based MARitime ENGlish Plus)</w:t>
      </w:r>
    </w:p>
    <w:p w14:paraId="7E1DEA0D" w14:textId="21B15FBD" w:rsidR="0054688B" w:rsidRPr="0054688B" w:rsidRDefault="0054688B" w:rsidP="0054688B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4688B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A679072. Novi podprojekt (Int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egrirani teritorijalni program</w:t>
      </w:r>
      <w:r w:rsidRPr="0054688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) PortEMS - Konvergentni IT-OT sustav upravljanja energijom (EMS) za tranziciju lučkih zajednica u pametna niskougljična energetska čvorišta - IP.1 </w:t>
      </w:r>
    </w:p>
    <w:p w14:paraId="5CA8E27E" w14:textId="18A09BEE" w:rsidR="0054688B" w:rsidRPr="0054688B" w:rsidRDefault="0054688B" w:rsidP="0054688B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4688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A679072. Novi podprojekt </w:t>
      </w:r>
      <w:r w:rsidR="006756CF">
        <w:rPr>
          <w:rFonts w:ascii="Times New Roman" w:eastAsia="Times New Roman" w:hAnsi="Times New Roman" w:cs="Times New Roman"/>
          <w:sz w:val="24"/>
          <w:szCs w:val="24"/>
          <w:lang w:eastAsia="en-GB"/>
        </w:rPr>
        <w:t>(</w:t>
      </w:r>
      <w:r w:rsidRPr="0054688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Integrirani teritorijalni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program</w:t>
      </w:r>
      <w:r w:rsidR="006756CF">
        <w:rPr>
          <w:rFonts w:ascii="Times New Roman" w:eastAsia="Times New Roman" w:hAnsi="Times New Roman" w:cs="Times New Roman"/>
          <w:sz w:val="24"/>
          <w:szCs w:val="24"/>
          <w:lang w:eastAsia="en-GB"/>
        </w:rPr>
        <w:t>)</w:t>
      </w:r>
      <w:r w:rsidRPr="0054688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PBM SENSE – istraživanje i razvoj inovativ nih proizvoda za održivo i konkurentno brodarstvo</w:t>
      </w:r>
    </w:p>
    <w:p w14:paraId="5605D9A8" w14:textId="38301851" w:rsidR="0054688B" w:rsidRPr="0054688B" w:rsidRDefault="0054688B" w:rsidP="0054688B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4688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A679072. Novi podprojekt </w:t>
      </w:r>
      <w:r w:rsidR="006756CF">
        <w:rPr>
          <w:rFonts w:ascii="Times New Roman" w:eastAsia="Times New Roman" w:hAnsi="Times New Roman" w:cs="Times New Roman"/>
          <w:sz w:val="24"/>
          <w:szCs w:val="24"/>
          <w:lang w:eastAsia="en-GB"/>
        </w:rPr>
        <w:t>(</w:t>
      </w:r>
      <w:r w:rsidRPr="0054688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Integrirani teritorijalni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program</w:t>
      </w:r>
      <w:r w:rsidR="006756CF">
        <w:rPr>
          <w:rFonts w:ascii="Times New Roman" w:eastAsia="Times New Roman" w:hAnsi="Times New Roman" w:cs="Times New Roman"/>
          <w:sz w:val="24"/>
          <w:szCs w:val="24"/>
          <w:lang w:eastAsia="en-GB"/>
        </w:rPr>
        <w:t>)</w:t>
      </w:r>
      <w:r w:rsidRPr="0054688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Sustav za detekciju, signalizaciju i alarmiranje prodora vode sa redundancijom i serijskom komunikacijom za primjenu na brodovima </w:t>
      </w:r>
    </w:p>
    <w:p w14:paraId="715ACAF3" w14:textId="77777777" w:rsidR="0053393F" w:rsidRPr="0053393F" w:rsidRDefault="0053393F" w:rsidP="0053393F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>A679072.</w:t>
      </w:r>
      <w:r w:rsidR="001F73F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53393F">
        <w:rPr>
          <w:rFonts w:ascii="Times New Roman" w:eastAsia="Times New Roman" w:hAnsi="Times New Roman" w:cs="Times New Roman"/>
          <w:sz w:val="24"/>
          <w:szCs w:val="24"/>
          <w:lang w:eastAsia="en-GB"/>
        </w:rPr>
        <w:t>Novi podprojekt Program razvoja karijera mladih istraživača-Plan razvoja karijere asistenata (NPOO.C3.2.R2-.1.03.0070)</w:t>
      </w:r>
    </w:p>
    <w:p w14:paraId="4328ADFC" w14:textId="77777777" w:rsidR="00A132E9" w:rsidRPr="0053393F" w:rsidRDefault="00A132E9" w:rsidP="0053393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7FA47F5" w14:textId="50021E01" w:rsidR="00EB34D2" w:rsidRPr="001A5B94" w:rsidRDefault="00EB34D2" w:rsidP="00EB34D2">
      <w:pPr>
        <w:tabs>
          <w:tab w:val="left" w:pos="682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Detaljan prikaz svih aktivnih EU projekata sadržan je u Izvještaju o korištenju sredstava fondova Europske unije.</w:t>
      </w:r>
    </w:p>
    <w:p w14:paraId="0AA770FF" w14:textId="77777777" w:rsidR="00B644EE" w:rsidRDefault="00B644EE" w:rsidP="000671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4A68EF2" w14:textId="77777777" w:rsidR="005D6F04" w:rsidRPr="0053393F" w:rsidRDefault="005D6F04" w:rsidP="005D6F04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393F">
        <w:rPr>
          <w:rFonts w:ascii="Times New Roman" w:hAnsi="Times New Roman" w:cs="Times New Roman"/>
          <w:b/>
          <w:sz w:val="24"/>
          <w:szCs w:val="24"/>
        </w:rPr>
        <w:t>K</w:t>
      </w:r>
      <w:r w:rsidR="0053393F" w:rsidRPr="0053393F">
        <w:rPr>
          <w:rFonts w:ascii="Times New Roman" w:hAnsi="Times New Roman" w:cs="Times New Roman"/>
          <w:b/>
          <w:sz w:val="24"/>
          <w:szCs w:val="24"/>
        </w:rPr>
        <w:t>679128</w:t>
      </w:r>
      <w:r w:rsidRPr="005339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393F" w:rsidRPr="0053393F">
        <w:rPr>
          <w:rFonts w:ascii="Times New Roman" w:hAnsi="Times New Roman" w:cs="Times New Roman"/>
          <w:b/>
          <w:sz w:val="24"/>
          <w:szCs w:val="24"/>
        </w:rPr>
        <w:t>POBOLJŠANJE UČINKOVITOSTI JAVNIH ULAGANJA NA PODRUČJU ISTRAŽIVANJA, RAZVOJA I INOVACIJA - NPOO (C3.2.R3)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3"/>
        <w:gridCol w:w="1251"/>
        <w:gridCol w:w="1251"/>
        <w:gridCol w:w="1251"/>
        <w:gridCol w:w="1250"/>
        <w:gridCol w:w="1251"/>
        <w:gridCol w:w="1165"/>
      </w:tblGrid>
      <w:tr w:rsidR="005A0ABE" w:rsidRPr="001A5B94" w14:paraId="2B381130" w14:textId="77777777" w:rsidTr="00D02775">
        <w:tc>
          <w:tcPr>
            <w:tcW w:w="1643" w:type="dxa"/>
            <w:shd w:val="clear" w:color="auto" w:fill="D0CECE" w:themeFill="background2" w:themeFillShade="E6"/>
          </w:tcPr>
          <w:p w14:paraId="14C6CF7B" w14:textId="77777777" w:rsidR="005A0ABE" w:rsidRPr="001A5B94" w:rsidRDefault="005A0ABE" w:rsidP="005A0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1254F0" w14:textId="77777777" w:rsidR="005A0ABE" w:rsidRPr="001A5B94" w:rsidRDefault="005A0ABE" w:rsidP="005A0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shd w:val="clear" w:color="auto" w:fill="D0CECE" w:themeFill="background2" w:themeFillShade="E6"/>
            <w:vAlign w:val="center"/>
          </w:tcPr>
          <w:p w14:paraId="1C5137F5" w14:textId="359A3629" w:rsidR="005A0ABE" w:rsidRPr="001A5B94" w:rsidRDefault="005A0ABE" w:rsidP="005A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>Izvršenje 202</w:t>
            </w:r>
            <w:r w:rsidR="006514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1" w:type="dxa"/>
            <w:shd w:val="clear" w:color="auto" w:fill="D0CECE" w:themeFill="background2" w:themeFillShade="E6"/>
            <w:vAlign w:val="center"/>
          </w:tcPr>
          <w:p w14:paraId="72DC7164" w14:textId="7D5C6277" w:rsidR="005A0ABE" w:rsidRPr="001A5B94" w:rsidRDefault="005A0ABE" w:rsidP="005A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>Plan 202</w:t>
            </w:r>
            <w:r w:rsidR="006514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1" w:type="dxa"/>
            <w:shd w:val="clear" w:color="auto" w:fill="D0CECE" w:themeFill="background2" w:themeFillShade="E6"/>
            <w:vAlign w:val="center"/>
          </w:tcPr>
          <w:p w14:paraId="0DF6FCCC" w14:textId="476D571B" w:rsidR="005A0ABE" w:rsidRPr="001A5B94" w:rsidRDefault="005A0ABE" w:rsidP="005A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Rebalans</w:t>
            </w: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6514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0" w:type="dxa"/>
            <w:shd w:val="clear" w:color="auto" w:fill="D0CECE" w:themeFill="background2" w:themeFillShade="E6"/>
            <w:vAlign w:val="center"/>
          </w:tcPr>
          <w:p w14:paraId="574CCE23" w14:textId="2C2CB184" w:rsidR="005A0ABE" w:rsidRPr="001A5B94" w:rsidRDefault="005A0ABE" w:rsidP="005A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Izvršenje 202</w:t>
            </w:r>
            <w:r w:rsidR="006514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51" w:type="dxa"/>
            <w:shd w:val="clear" w:color="auto" w:fill="D0CECE" w:themeFill="background2" w:themeFillShade="E6"/>
            <w:vAlign w:val="center"/>
          </w:tcPr>
          <w:p w14:paraId="388CFF1D" w14:textId="77777777" w:rsidR="005A0ABE" w:rsidRPr="001A5B94" w:rsidRDefault="005A0ABE" w:rsidP="005A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Indeks </w:t>
            </w:r>
            <w:r w:rsidRPr="00390036">
              <w:rPr>
                <w:rFonts w:ascii="Times New Roman" w:hAnsi="Times New Roman" w:cs="Times New Roman"/>
                <w:sz w:val="20"/>
                <w:szCs w:val="20"/>
              </w:rPr>
              <w:t>5/2*100</w:t>
            </w:r>
          </w:p>
        </w:tc>
        <w:tc>
          <w:tcPr>
            <w:tcW w:w="1165" w:type="dxa"/>
            <w:shd w:val="clear" w:color="auto" w:fill="D0CECE" w:themeFill="background2" w:themeFillShade="E6"/>
            <w:vAlign w:val="center"/>
          </w:tcPr>
          <w:p w14:paraId="1423D2AE" w14:textId="77777777" w:rsidR="005A0ABE" w:rsidRDefault="005A0ABE" w:rsidP="005A0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>Indeks</w:t>
            </w:r>
          </w:p>
          <w:p w14:paraId="3D561A34" w14:textId="77777777" w:rsidR="005A0ABE" w:rsidRPr="00390036" w:rsidRDefault="005A0ABE" w:rsidP="005A0A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0036">
              <w:rPr>
                <w:rFonts w:ascii="Times New Roman" w:hAnsi="Times New Roman" w:cs="Times New Roman"/>
                <w:sz w:val="20"/>
                <w:szCs w:val="20"/>
              </w:rPr>
              <w:t>5/4*100</w:t>
            </w:r>
          </w:p>
        </w:tc>
      </w:tr>
      <w:tr w:rsidR="00415937" w:rsidRPr="001A5B94" w14:paraId="70A76AFD" w14:textId="77777777" w:rsidTr="00D02775">
        <w:trPr>
          <w:trHeight w:val="58"/>
        </w:trPr>
        <w:tc>
          <w:tcPr>
            <w:tcW w:w="1643" w:type="dxa"/>
            <w:shd w:val="clear" w:color="auto" w:fill="D0CECE" w:themeFill="background2" w:themeFillShade="E6"/>
          </w:tcPr>
          <w:p w14:paraId="20F81F2E" w14:textId="77777777" w:rsidR="00415937" w:rsidRPr="00390036" w:rsidRDefault="00415937" w:rsidP="00D02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03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51" w:type="dxa"/>
            <w:shd w:val="clear" w:color="auto" w:fill="D0CECE" w:themeFill="background2" w:themeFillShade="E6"/>
            <w:vAlign w:val="center"/>
          </w:tcPr>
          <w:p w14:paraId="69D0D8C9" w14:textId="77777777" w:rsidR="00415937" w:rsidRPr="00390036" w:rsidRDefault="00415937" w:rsidP="00D02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03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51" w:type="dxa"/>
            <w:shd w:val="clear" w:color="auto" w:fill="D0CECE" w:themeFill="background2" w:themeFillShade="E6"/>
            <w:vAlign w:val="center"/>
          </w:tcPr>
          <w:p w14:paraId="0C199640" w14:textId="77777777" w:rsidR="00415937" w:rsidRPr="00390036" w:rsidRDefault="00415937" w:rsidP="00D02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03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51" w:type="dxa"/>
            <w:shd w:val="clear" w:color="auto" w:fill="D0CECE" w:themeFill="background2" w:themeFillShade="E6"/>
            <w:vAlign w:val="center"/>
          </w:tcPr>
          <w:p w14:paraId="4CA5D90F" w14:textId="77777777" w:rsidR="00415937" w:rsidRPr="00390036" w:rsidRDefault="00415937" w:rsidP="00D02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03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50" w:type="dxa"/>
            <w:shd w:val="clear" w:color="auto" w:fill="D0CECE" w:themeFill="background2" w:themeFillShade="E6"/>
            <w:vAlign w:val="center"/>
          </w:tcPr>
          <w:p w14:paraId="1184FD0D" w14:textId="77777777" w:rsidR="00415937" w:rsidRPr="00390036" w:rsidRDefault="00415937" w:rsidP="00D02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03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51" w:type="dxa"/>
            <w:shd w:val="clear" w:color="auto" w:fill="D0CECE" w:themeFill="background2" w:themeFillShade="E6"/>
            <w:vAlign w:val="center"/>
          </w:tcPr>
          <w:p w14:paraId="35ECA514" w14:textId="77777777" w:rsidR="00415937" w:rsidRPr="00390036" w:rsidRDefault="00415937" w:rsidP="00D02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03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65" w:type="dxa"/>
            <w:shd w:val="clear" w:color="auto" w:fill="D0CECE" w:themeFill="background2" w:themeFillShade="E6"/>
            <w:vAlign w:val="center"/>
          </w:tcPr>
          <w:p w14:paraId="5285C36F" w14:textId="77777777" w:rsidR="00415937" w:rsidRPr="00390036" w:rsidRDefault="00415937" w:rsidP="00D027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003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EB34D2" w:rsidRPr="001A5B94" w14:paraId="3870F58C" w14:textId="77777777" w:rsidTr="00D02775">
        <w:tc>
          <w:tcPr>
            <w:tcW w:w="1643" w:type="dxa"/>
          </w:tcPr>
          <w:p w14:paraId="61C05ACD" w14:textId="77777777" w:rsidR="00EB34D2" w:rsidRPr="001A5B94" w:rsidRDefault="00EB34D2" w:rsidP="00EB3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5B94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679128</w:t>
            </w:r>
          </w:p>
        </w:tc>
        <w:tc>
          <w:tcPr>
            <w:tcW w:w="1251" w:type="dxa"/>
          </w:tcPr>
          <w:p w14:paraId="2B686415" w14:textId="10409F07" w:rsidR="00EB34D2" w:rsidRPr="001A5B94" w:rsidRDefault="00EB34D2" w:rsidP="00EB34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26.450</w:t>
            </w:r>
          </w:p>
        </w:tc>
        <w:tc>
          <w:tcPr>
            <w:tcW w:w="1251" w:type="dxa"/>
          </w:tcPr>
          <w:p w14:paraId="5ED44BE6" w14:textId="77777777" w:rsidR="00EB34D2" w:rsidRPr="001A5B94" w:rsidRDefault="00EB34D2" w:rsidP="00EB34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51" w:type="dxa"/>
          </w:tcPr>
          <w:p w14:paraId="1170A155" w14:textId="6B558C51" w:rsidR="00EB34D2" w:rsidRPr="001A5B94" w:rsidRDefault="00EB34D2" w:rsidP="00EB34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4D2">
              <w:rPr>
                <w:rFonts w:ascii="Times New Roman" w:hAnsi="Times New Roman" w:cs="Times New Roman"/>
                <w:sz w:val="24"/>
                <w:szCs w:val="24"/>
              </w:rPr>
              <w:t>28.189</w:t>
            </w:r>
          </w:p>
        </w:tc>
        <w:tc>
          <w:tcPr>
            <w:tcW w:w="1250" w:type="dxa"/>
          </w:tcPr>
          <w:p w14:paraId="28E9E723" w14:textId="6DBD5780" w:rsidR="00EB34D2" w:rsidRPr="001A5B94" w:rsidRDefault="00EB34D2" w:rsidP="00EB34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34D2">
              <w:rPr>
                <w:rFonts w:ascii="Times New Roman" w:hAnsi="Times New Roman" w:cs="Times New Roman"/>
                <w:sz w:val="24"/>
                <w:szCs w:val="24"/>
              </w:rPr>
              <w:t>28.188</w:t>
            </w:r>
          </w:p>
        </w:tc>
        <w:tc>
          <w:tcPr>
            <w:tcW w:w="1251" w:type="dxa"/>
          </w:tcPr>
          <w:p w14:paraId="3054F877" w14:textId="77777777" w:rsidR="00EB34D2" w:rsidRPr="001A5B94" w:rsidRDefault="00EB34D2" w:rsidP="00EB34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65" w:type="dxa"/>
          </w:tcPr>
          <w:p w14:paraId="46CCC366" w14:textId="52DA6346" w:rsidR="00EB34D2" w:rsidRPr="001A5B94" w:rsidRDefault="00EB34D2" w:rsidP="00EB34D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</w:tbl>
    <w:p w14:paraId="6088DF5D" w14:textId="7C57500C" w:rsidR="00CE294B" w:rsidRDefault="00CE294B" w:rsidP="001B7FBF">
      <w:pPr>
        <w:tabs>
          <w:tab w:val="left" w:pos="682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E294B">
        <w:rPr>
          <w:rFonts w:ascii="Times New Roman" w:hAnsi="Times New Roman" w:cs="Times New Roman"/>
          <w:sz w:val="24"/>
          <w:szCs w:val="24"/>
        </w:rPr>
        <w:t>Ova aktivnost sastoji se od troškova implementacije projekta Dokaz inovativnog koncepta korištenja računalnog vida za detekciju i r</w:t>
      </w:r>
      <w:r w:rsidR="0054688B">
        <w:rPr>
          <w:rFonts w:ascii="Times New Roman" w:hAnsi="Times New Roman" w:cs="Times New Roman"/>
          <w:sz w:val="24"/>
          <w:szCs w:val="24"/>
        </w:rPr>
        <w:t>as</w:t>
      </w:r>
      <w:r w:rsidRPr="00CE294B">
        <w:rPr>
          <w:rFonts w:ascii="Times New Roman" w:hAnsi="Times New Roman" w:cs="Times New Roman"/>
          <w:sz w:val="24"/>
          <w:szCs w:val="24"/>
        </w:rPr>
        <w:t>poznavanje plovnih objekata u lukama nautičkog turizma (NPOO.C3.2.R3-I1.01.0124)</w:t>
      </w:r>
      <w:r w:rsidR="0054688B">
        <w:rPr>
          <w:rFonts w:ascii="Times New Roman" w:hAnsi="Times New Roman" w:cs="Times New Roman"/>
          <w:sz w:val="24"/>
          <w:szCs w:val="24"/>
        </w:rPr>
        <w:t>. Projekt je završio u ožujku 2025. godine.</w:t>
      </w:r>
    </w:p>
    <w:p w14:paraId="4FCAAA67" w14:textId="77777777" w:rsidR="00415937" w:rsidRPr="00CE294B" w:rsidRDefault="00415937" w:rsidP="00CE29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15937" w:rsidRPr="00CE294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9619B" w14:textId="77777777" w:rsidR="00476AE1" w:rsidRDefault="00476AE1">
      <w:pPr>
        <w:spacing w:after="0" w:line="240" w:lineRule="auto"/>
      </w:pPr>
      <w:r>
        <w:separator/>
      </w:r>
    </w:p>
  </w:endnote>
  <w:endnote w:type="continuationSeparator" w:id="0">
    <w:p w14:paraId="5A15F6AF" w14:textId="77777777" w:rsidR="00476AE1" w:rsidRDefault="00476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YInterstate Light">
    <w:altName w:val="Franklin Gothic Medium Cond"/>
    <w:charset w:val="EE"/>
    <w:family w:val="auto"/>
    <w:pitch w:val="variable"/>
    <w:sig w:usb0="00000001" w:usb1="5000206A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5515545"/>
      <w:docPartObj>
        <w:docPartGallery w:val="Page Numbers (Bottom of Page)"/>
        <w:docPartUnique/>
      </w:docPartObj>
    </w:sdtPr>
    <w:sdtContent>
      <w:p w14:paraId="627B6070" w14:textId="77777777" w:rsidR="00E97DAE" w:rsidRDefault="00E97DA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322FA67E" w14:textId="77777777" w:rsidR="00E97DAE" w:rsidRDefault="00E97DAE">
    <w:pPr>
      <w:pStyle w:val="Footer"/>
    </w:pPr>
  </w:p>
  <w:p w14:paraId="691308A3" w14:textId="77777777" w:rsidR="000D0327" w:rsidRDefault="000D03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06651" w14:textId="77777777" w:rsidR="00476AE1" w:rsidRDefault="00476AE1">
      <w:pPr>
        <w:spacing w:after="0" w:line="240" w:lineRule="auto"/>
      </w:pPr>
      <w:r>
        <w:separator/>
      </w:r>
    </w:p>
  </w:footnote>
  <w:footnote w:type="continuationSeparator" w:id="0">
    <w:p w14:paraId="5D67F5E1" w14:textId="77777777" w:rsidR="00476AE1" w:rsidRDefault="00476A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2032F"/>
    <w:multiLevelType w:val="hybridMultilevel"/>
    <w:tmpl w:val="280A5688"/>
    <w:lvl w:ilvl="0" w:tplc="041A000F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69" w:hanging="360"/>
      </w:pPr>
    </w:lvl>
    <w:lvl w:ilvl="2" w:tplc="041A001B" w:tentative="1">
      <w:start w:val="1"/>
      <w:numFmt w:val="lowerRoman"/>
      <w:lvlText w:val="%3."/>
      <w:lvlJc w:val="right"/>
      <w:pPr>
        <w:ind w:left="1789" w:hanging="180"/>
      </w:pPr>
    </w:lvl>
    <w:lvl w:ilvl="3" w:tplc="041A000F" w:tentative="1">
      <w:start w:val="1"/>
      <w:numFmt w:val="decimal"/>
      <w:lvlText w:val="%4."/>
      <w:lvlJc w:val="left"/>
      <w:pPr>
        <w:ind w:left="2509" w:hanging="360"/>
      </w:pPr>
    </w:lvl>
    <w:lvl w:ilvl="4" w:tplc="041A0019" w:tentative="1">
      <w:start w:val="1"/>
      <w:numFmt w:val="lowerLetter"/>
      <w:lvlText w:val="%5."/>
      <w:lvlJc w:val="left"/>
      <w:pPr>
        <w:ind w:left="3229" w:hanging="360"/>
      </w:pPr>
    </w:lvl>
    <w:lvl w:ilvl="5" w:tplc="041A001B" w:tentative="1">
      <w:start w:val="1"/>
      <w:numFmt w:val="lowerRoman"/>
      <w:lvlText w:val="%6."/>
      <w:lvlJc w:val="right"/>
      <w:pPr>
        <w:ind w:left="3949" w:hanging="180"/>
      </w:pPr>
    </w:lvl>
    <w:lvl w:ilvl="6" w:tplc="041A000F" w:tentative="1">
      <w:start w:val="1"/>
      <w:numFmt w:val="decimal"/>
      <w:lvlText w:val="%7."/>
      <w:lvlJc w:val="left"/>
      <w:pPr>
        <w:ind w:left="4669" w:hanging="360"/>
      </w:pPr>
    </w:lvl>
    <w:lvl w:ilvl="7" w:tplc="041A0019" w:tentative="1">
      <w:start w:val="1"/>
      <w:numFmt w:val="lowerLetter"/>
      <w:lvlText w:val="%8."/>
      <w:lvlJc w:val="left"/>
      <w:pPr>
        <w:ind w:left="5389" w:hanging="360"/>
      </w:pPr>
    </w:lvl>
    <w:lvl w:ilvl="8" w:tplc="041A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C1D5E1A"/>
    <w:multiLevelType w:val="hybridMultilevel"/>
    <w:tmpl w:val="CB8C35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91007"/>
    <w:multiLevelType w:val="multilevel"/>
    <w:tmpl w:val="2C10BBF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0FA73651"/>
    <w:multiLevelType w:val="hybridMultilevel"/>
    <w:tmpl w:val="2BBE64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3CC1D2">
      <w:start w:val="1"/>
      <w:numFmt w:val="bullet"/>
      <w:lvlText w:val="•"/>
      <w:lvlJc w:val="left"/>
      <w:pPr>
        <w:ind w:left="2880" w:hanging="360"/>
      </w:pPr>
      <w:rPr>
        <w:rFonts w:ascii="EYInterstate Light" w:hAnsi="EYInterstate Light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E5D75"/>
    <w:multiLevelType w:val="hybridMultilevel"/>
    <w:tmpl w:val="8D36F9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13EC6"/>
    <w:multiLevelType w:val="hybridMultilevel"/>
    <w:tmpl w:val="ECAAB6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F08AF"/>
    <w:multiLevelType w:val="hybridMultilevel"/>
    <w:tmpl w:val="ECAAB6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405138"/>
    <w:multiLevelType w:val="hybridMultilevel"/>
    <w:tmpl w:val="465E17B2"/>
    <w:lvl w:ilvl="0" w:tplc="CA8AA48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CE5C00"/>
    <w:multiLevelType w:val="hybridMultilevel"/>
    <w:tmpl w:val="5694C5EE"/>
    <w:lvl w:ilvl="0" w:tplc="8108B5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6A519D"/>
    <w:multiLevelType w:val="hybridMultilevel"/>
    <w:tmpl w:val="769A90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C650B4"/>
    <w:multiLevelType w:val="hybridMultilevel"/>
    <w:tmpl w:val="25C2E6FC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C56CC"/>
    <w:multiLevelType w:val="hybridMultilevel"/>
    <w:tmpl w:val="14C2CF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75B41"/>
    <w:multiLevelType w:val="hybridMultilevel"/>
    <w:tmpl w:val="ECAAB6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354EBA"/>
    <w:multiLevelType w:val="hybridMultilevel"/>
    <w:tmpl w:val="79D4180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033B8B"/>
    <w:multiLevelType w:val="hybridMultilevel"/>
    <w:tmpl w:val="ECAAB6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6C4A71"/>
    <w:multiLevelType w:val="hybridMultilevel"/>
    <w:tmpl w:val="1AF8EE74"/>
    <w:lvl w:ilvl="0" w:tplc="8108B5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41E1774"/>
    <w:multiLevelType w:val="hybridMultilevel"/>
    <w:tmpl w:val="D632F124"/>
    <w:lvl w:ilvl="0" w:tplc="041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E025D1"/>
    <w:multiLevelType w:val="hybridMultilevel"/>
    <w:tmpl w:val="AA8E8F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F31713"/>
    <w:multiLevelType w:val="hybridMultilevel"/>
    <w:tmpl w:val="04F801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173E6D"/>
    <w:multiLevelType w:val="hybridMultilevel"/>
    <w:tmpl w:val="EDBE3F94"/>
    <w:lvl w:ilvl="0" w:tplc="E58A87DE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02207E4"/>
    <w:multiLevelType w:val="hybridMultilevel"/>
    <w:tmpl w:val="30FEEB2E"/>
    <w:lvl w:ilvl="0" w:tplc="8F04EEE4">
      <w:start w:val="1"/>
      <w:numFmt w:val="decimal"/>
      <w:lvlText w:val="%1."/>
      <w:lvlJc w:val="left"/>
      <w:pPr>
        <w:ind w:left="862" w:hanging="360"/>
      </w:pPr>
    </w:lvl>
    <w:lvl w:ilvl="1" w:tplc="08090019">
      <w:start w:val="1"/>
      <w:numFmt w:val="lowerLetter"/>
      <w:lvlText w:val="%2."/>
      <w:lvlJc w:val="left"/>
      <w:pPr>
        <w:ind w:left="1582" w:hanging="360"/>
      </w:pPr>
    </w:lvl>
    <w:lvl w:ilvl="2" w:tplc="0809001B">
      <w:start w:val="1"/>
      <w:numFmt w:val="lowerRoman"/>
      <w:lvlText w:val="%3."/>
      <w:lvlJc w:val="right"/>
      <w:pPr>
        <w:ind w:left="2302" w:hanging="180"/>
      </w:pPr>
    </w:lvl>
    <w:lvl w:ilvl="3" w:tplc="0809000F">
      <w:start w:val="1"/>
      <w:numFmt w:val="decimal"/>
      <w:lvlText w:val="%4."/>
      <w:lvlJc w:val="left"/>
      <w:pPr>
        <w:ind w:left="3022" w:hanging="360"/>
      </w:pPr>
    </w:lvl>
    <w:lvl w:ilvl="4" w:tplc="08090019">
      <w:start w:val="1"/>
      <w:numFmt w:val="lowerLetter"/>
      <w:lvlText w:val="%5."/>
      <w:lvlJc w:val="left"/>
      <w:pPr>
        <w:ind w:left="3742" w:hanging="360"/>
      </w:pPr>
    </w:lvl>
    <w:lvl w:ilvl="5" w:tplc="0809001B">
      <w:start w:val="1"/>
      <w:numFmt w:val="lowerRoman"/>
      <w:lvlText w:val="%6."/>
      <w:lvlJc w:val="right"/>
      <w:pPr>
        <w:ind w:left="4462" w:hanging="180"/>
      </w:pPr>
    </w:lvl>
    <w:lvl w:ilvl="6" w:tplc="0809000F">
      <w:start w:val="1"/>
      <w:numFmt w:val="decimal"/>
      <w:lvlText w:val="%7."/>
      <w:lvlJc w:val="left"/>
      <w:pPr>
        <w:ind w:left="5182" w:hanging="360"/>
      </w:pPr>
    </w:lvl>
    <w:lvl w:ilvl="7" w:tplc="08090019">
      <w:start w:val="1"/>
      <w:numFmt w:val="lowerLetter"/>
      <w:lvlText w:val="%8."/>
      <w:lvlJc w:val="left"/>
      <w:pPr>
        <w:ind w:left="5902" w:hanging="360"/>
      </w:pPr>
    </w:lvl>
    <w:lvl w:ilvl="8" w:tplc="0809001B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706514E6"/>
    <w:multiLevelType w:val="hybridMultilevel"/>
    <w:tmpl w:val="ECAAB6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3715C0"/>
    <w:multiLevelType w:val="hybridMultilevel"/>
    <w:tmpl w:val="731C96A8"/>
    <w:lvl w:ilvl="0" w:tplc="C5BC3B0A">
      <w:start w:val="2"/>
      <w:numFmt w:val="bullet"/>
      <w:lvlText w:val="-"/>
      <w:lvlJc w:val="left"/>
      <w:pPr>
        <w:ind w:left="92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3" w15:restartNumberingAfterBreak="0">
    <w:nsid w:val="741B7A89"/>
    <w:multiLevelType w:val="hybridMultilevel"/>
    <w:tmpl w:val="7354CC9C"/>
    <w:lvl w:ilvl="0" w:tplc="C5BC3B0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01181F"/>
    <w:multiLevelType w:val="hybridMultilevel"/>
    <w:tmpl w:val="1AF8EE74"/>
    <w:lvl w:ilvl="0" w:tplc="8108B5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F7A34C8"/>
    <w:multiLevelType w:val="hybridMultilevel"/>
    <w:tmpl w:val="1E644C36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343969205">
    <w:abstractNumId w:val="11"/>
  </w:num>
  <w:num w:numId="2" w16cid:durableId="1841575521">
    <w:abstractNumId w:val="21"/>
  </w:num>
  <w:num w:numId="3" w16cid:durableId="175729610">
    <w:abstractNumId w:val="4"/>
  </w:num>
  <w:num w:numId="4" w16cid:durableId="1584758369">
    <w:abstractNumId w:val="17"/>
  </w:num>
  <w:num w:numId="5" w16cid:durableId="299308040">
    <w:abstractNumId w:val="2"/>
  </w:num>
  <w:num w:numId="6" w16cid:durableId="2064979482">
    <w:abstractNumId w:val="3"/>
  </w:num>
  <w:num w:numId="7" w16cid:durableId="1691952000">
    <w:abstractNumId w:val="9"/>
  </w:num>
  <w:num w:numId="8" w16cid:durableId="1347058475">
    <w:abstractNumId w:val="22"/>
  </w:num>
  <w:num w:numId="9" w16cid:durableId="583341981">
    <w:abstractNumId w:val="23"/>
  </w:num>
  <w:num w:numId="10" w16cid:durableId="1670980943">
    <w:abstractNumId w:val="13"/>
  </w:num>
  <w:num w:numId="11" w16cid:durableId="1970741299">
    <w:abstractNumId w:val="14"/>
  </w:num>
  <w:num w:numId="12" w16cid:durableId="249197032">
    <w:abstractNumId w:val="5"/>
  </w:num>
  <w:num w:numId="13" w16cid:durableId="1950817365">
    <w:abstractNumId w:val="12"/>
  </w:num>
  <w:num w:numId="14" w16cid:durableId="1439182808">
    <w:abstractNumId w:val="1"/>
  </w:num>
  <w:num w:numId="15" w16cid:durableId="927468438">
    <w:abstractNumId w:val="24"/>
  </w:num>
  <w:num w:numId="16" w16cid:durableId="1977445434">
    <w:abstractNumId w:val="18"/>
  </w:num>
  <w:num w:numId="17" w16cid:durableId="418647611">
    <w:abstractNumId w:val="25"/>
  </w:num>
  <w:num w:numId="18" w16cid:durableId="334505126">
    <w:abstractNumId w:val="6"/>
  </w:num>
  <w:num w:numId="19" w16cid:durableId="1003436547">
    <w:abstractNumId w:val="8"/>
  </w:num>
  <w:num w:numId="20" w16cid:durableId="819151979">
    <w:abstractNumId w:val="0"/>
  </w:num>
  <w:num w:numId="21" w16cid:durableId="151657228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69018134">
    <w:abstractNumId w:val="7"/>
  </w:num>
  <w:num w:numId="23" w16cid:durableId="223176095">
    <w:abstractNumId w:val="15"/>
  </w:num>
  <w:num w:numId="24" w16cid:durableId="7327754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38371590">
    <w:abstractNumId w:val="10"/>
  </w:num>
  <w:num w:numId="26" w16cid:durableId="197932007">
    <w:abstractNumId w:val="19"/>
  </w:num>
  <w:num w:numId="27" w16cid:durableId="186386189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5CF"/>
    <w:rsid w:val="000003DF"/>
    <w:rsid w:val="00004CA9"/>
    <w:rsid w:val="00005E2C"/>
    <w:rsid w:val="00010779"/>
    <w:rsid w:val="00025339"/>
    <w:rsid w:val="00067167"/>
    <w:rsid w:val="000A5FB2"/>
    <w:rsid w:val="000B09E7"/>
    <w:rsid w:val="000B2F61"/>
    <w:rsid w:val="000C0866"/>
    <w:rsid w:val="000C2595"/>
    <w:rsid w:val="000C728F"/>
    <w:rsid w:val="000D0327"/>
    <w:rsid w:val="000D147C"/>
    <w:rsid w:val="000D265F"/>
    <w:rsid w:val="000D7E33"/>
    <w:rsid w:val="000E687E"/>
    <w:rsid w:val="00105DCB"/>
    <w:rsid w:val="00106F8F"/>
    <w:rsid w:val="00107352"/>
    <w:rsid w:val="001149CF"/>
    <w:rsid w:val="001232E3"/>
    <w:rsid w:val="001239D5"/>
    <w:rsid w:val="0012757B"/>
    <w:rsid w:val="00143EBB"/>
    <w:rsid w:val="00150706"/>
    <w:rsid w:val="00154E55"/>
    <w:rsid w:val="001744A1"/>
    <w:rsid w:val="00196F1A"/>
    <w:rsid w:val="001A5B94"/>
    <w:rsid w:val="001B0F7A"/>
    <w:rsid w:val="001B7FBF"/>
    <w:rsid w:val="001C5253"/>
    <w:rsid w:val="001F0A0A"/>
    <w:rsid w:val="001F49F6"/>
    <w:rsid w:val="001F5C9D"/>
    <w:rsid w:val="001F73FC"/>
    <w:rsid w:val="0020157E"/>
    <w:rsid w:val="00205FA4"/>
    <w:rsid w:val="0021091C"/>
    <w:rsid w:val="00220BF7"/>
    <w:rsid w:val="00227D81"/>
    <w:rsid w:val="002337C5"/>
    <w:rsid w:val="002438F0"/>
    <w:rsid w:val="00247B63"/>
    <w:rsid w:val="002559AA"/>
    <w:rsid w:val="0025736E"/>
    <w:rsid w:val="00257E49"/>
    <w:rsid w:val="00260654"/>
    <w:rsid w:val="00262073"/>
    <w:rsid w:val="002632B9"/>
    <w:rsid w:val="00273530"/>
    <w:rsid w:val="00281F8A"/>
    <w:rsid w:val="0028769D"/>
    <w:rsid w:val="002A0785"/>
    <w:rsid w:val="002A14C5"/>
    <w:rsid w:val="002B1794"/>
    <w:rsid w:val="002C7121"/>
    <w:rsid w:val="002D444E"/>
    <w:rsid w:val="002E3DD1"/>
    <w:rsid w:val="002F70E1"/>
    <w:rsid w:val="002F7312"/>
    <w:rsid w:val="00316CB9"/>
    <w:rsid w:val="003239CD"/>
    <w:rsid w:val="00324025"/>
    <w:rsid w:val="0032667E"/>
    <w:rsid w:val="00333241"/>
    <w:rsid w:val="00347DEB"/>
    <w:rsid w:val="00364101"/>
    <w:rsid w:val="0038587E"/>
    <w:rsid w:val="00385AB4"/>
    <w:rsid w:val="00390036"/>
    <w:rsid w:val="003943EC"/>
    <w:rsid w:val="00394775"/>
    <w:rsid w:val="00395B9A"/>
    <w:rsid w:val="003B2CF0"/>
    <w:rsid w:val="003B6F60"/>
    <w:rsid w:val="003C3F23"/>
    <w:rsid w:val="003D0F25"/>
    <w:rsid w:val="003D590B"/>
    <w:rsid w:val="003E5C41"/>
    <w:rsid w:val="003E624B"/>
    <w:rsid w:val="003E6F84"/>
    <w:rsid w:val="003F024D"/>
    <w:rsid w:val="003F3CDB"/>
    <w:rsid w:val="003F704E"/>
    <w:rsid w:val="003F7A62"/>
    <w:rsid w:val="0040736C"/>
    <w:rsid w:val="0041323D"/>
    <w:rsid w:val="00415937"/>
    <w:rsid w:val="004264E0"/>
    <w:rsid w:val="0043076F"/>
    <w:rsid w:val="00433BF3"/>
    <w:rsid w:val="0043417F"/>
    <w:rsid w:val="004353B1"/>
    <w:rsid w:val="004468BA"/>
    <w:rsid w:val="00476AE1"/>
    <w:rsid w:val="004A4E73"/>
    <w:rsid w:val="004C3A59"/>
    <w:rsid w:val="004D031A"/>
    <w:rsid w:val="004D27C2"/>
    <w:rsid w:val="004D2F71"/>
    <w:rsid w:val="004E02C5"/>
    <w:rsid w:val="004E5F4B"/>
    <w:rsid w:val="004F1024"/>
    <w:rsid w:val="004F26E9"/>
    <w:rsid w:val="00501A04"/>
    <w:rsid w:val="00504B74"/>
    <w:rsid w:val="00506312"/>
    <w:rsid w:val="00516BD2"/>
    <w:rsid w:val="0053393F"/>
    <w:rsid w:val="005344E8"/>
    <w:rsid w:val="00542DFE"/>
    <w:rsid w:val="00544576"/>
    <w:rsid w:val="0054688B"/>
    <w:rsid w:val="005615F2"/>
    <w:rsid w:val="00577E2A"/>
    <w:rsid w:val="00585281"/>
    <w:rsid w:val="00585304"/>
    <w:rsid w:val="005A0ABE"/>
    <w:rsid w:val="005A5310"/>
    <w:rsid w:val="005B6AFA"/>
    <w:rsid w:val="005C471A"/>
    <w:rsid w:val="005D6F04"/>
    <w:rsid w:val="005E4C7B"/>
    <w:rsid w:val="005F2EAE"/>
    <w:rsid w:val="00632874"/>
    <w:rsid w:val="00635D2E"/>
    <w:rsid w:val="00637ADB"/>
    <w:rsid w:val="006416F9"/>
    <w:rsid w:val="00643E9B"/>
    <w:rsid w:val="0065147C"/>
    <w:rsid w:val="00651EF8"/>
    <w:rsid w:val="00653F11"/>
    <w:rsid w:val="0066296C"/>
    <w:rsid w:val="00666AC9"/>
    <w:rsid w:val="0066781D"/>
    <w:rsid w:val="006756CF"/>
    <w:rsid w:val="00684873"/>
    <w:rsid w:val="00686F2E"/>
    <w:rsid w:val="006A146D"/>
    <w:rsid w:val="006B3F90"/>
    <w:rsid w:val="006D02E2"/>
    <w:rsid w:val="0070129B"/>
    <w:rsid w:val="0070142B"/>
    <w:rsid w:val="00703212"/>
    <w:rsid w:val="007105A9"/>
    <w:rsid w:val="00731B62"/>
    <w:rsid w:val="00766998"/>
    <w:rsid w:val="0077599B"/>
    <w:rsid w:val="00777540"/>
    <w:rsid w:val="00780074"/>
    <w:rsid w:val="00784427"/>
    <w:rsid w:val="007B11D8"/>
    <w:rsid w:val="007C41B3"/>
    <w:rsid w:val="007C6D46"/>
    <w:rsid w:val="007D53BD"/>
    <w:rsid w:val="007D6DA5"/>
    <w:rsid w:val="007E668F"/>
    <w:rsid w:val="007E6D3D"/>
    <w:rsid w:val="007F5A3B"/>
    <w:rsid w:val="008018C6"/>
    <w:rsid w:val="00806C5E"/>
    <w:rsid w:val="00811DD1"/>
    <w:rsid w:val="00812941"/>
    <w:rsid w:val="008223B8"/>
    <w:rsid w:val="0084143A"/>
    <w:rsid w:val="0084167B"/>
    <w:rsid w:val="008448FC"/>
    <w:rsid w:val="00845599"/>
    <w:rsid w:val="00846E65"/>
    <w:rsid w:val="008557B2"/>
    <w:rsid w:val="00863014"/>
    <w:rsid w:val="00863153"/>
    <w:rsid w:val="00866766"/>
    <w:rsid w:val="008717CE"/>
    <w:rsid w:val="0087303A"/>
    <w:rsid w:val="008732D5"/>
    <w:rsid w:val="008750BD"/>
    <w:rsid w:val="008817B0"/>
    <w:rsid w:val="008876CE"/>
    <w:rsid w:val="00892643"/>
    <w:rsid w:val="008A55E5"/>
    <w:rsid w:val="008B035E"/>
    <w:rsid w:val="008C73DF"/>
    <w:rsid w:val="008F1343"/>
    <w:rsid w:val="008F7E3F"/>
    <w:rsid w:val="00907355"/>
    <w:rsid w:val="009237ED"/>
    <w:rsid w:val="00924A50"/>
    <w:rsid w:val="00935B57"/>
    <w:rsid w:val="0094410C"/>
    <w:rsid w:val="00955A7B"/>
    <w:rsid w:val="009649E2"/>
    <w:rsid w:val="0096781F"/>
    <w:rsid w:val="00975E78"/>
    <w:rsid w:val="00977582"/>
    <w:rsid w:val="00980009"/>
    <w:rsid w:val="009A03EC"/>
    <w:rsid w:val="009A65A8"/>
    <w:rsid w:val="009B0254"/>
    <w:rsid w:val="009E2203"/>
    <w:rsid w:val="009E7A37"/>
    <w:rsid w:val="00A0120D"/>
    <w:rsid w:val="00A128EB"/>
    <w:rsid w:val="00A132E9"/>
    <w:rsid w:val="00A325CB"/>
    <w:rsid w:val="00A34E14"/>
    <w:rsid w:val="00A41D54"/>
    <w:rsid w:val="00A62724"/>
    <w:rsid w:val="00A637E6"/>
    <w:rsid w:val="00A827DC"/>
    <w:rsid w:val="00A91695"/>
    <w:rsid w:val="00A96F68"/>
    <w:rsid w:val="00A96F6F"/>
    <w:rsid w:val="00AB0246"/>
    <w:rsid w:val="00AC6F45"/>
    <w:rsid w:val="00AD3750"/>
    <w:rsid w:val="00AE035C"/>
    <w:rsid w:val="00AF461D"/>
    <w:rsid w:val="00B06FA1"/>
    <w:rsid w:val="00B13BFD"/>
    <w:rsid w:val="00B165A1"/>
    <w:rsid w:val="00B230F0"/>
    <w:rsid w:val="00B30B87"/>
    <w:rsid w:val="00B37A8E"/>
    <w:rsid w:val="00B43FA5"/>
    <w:rsid w:val="00B4760A"/>
    <w:rsid w:val="00B50732"/>
    <w:rsid w:val="00B53F75"/>
    <w:rsid w:val="00B644EE"/>
    <w:rsid w:val="00B64FBB"/>
    <w:rsid w:val="00B72D38"/>
    <w:rsid w:val="00B7598C"/>
    <w:rsid w:val="00B75E21"/>
    <w:rsid w:val="00B77648"/>
    <w:rsid w:val="00BA46EC"/>
    <w:rsid w:val="00BB0AC9"/>
    <w:rsid w:val="00BB47B9"/>
    <w:rsid w:val="00BB6AE9"/>
    <w:rsid w:val="00BB72A2"/>
    <w:rsid w:val="00BC433E"/>
    <w:rsid w:val="00BC529D"/>
    <w:rsid w:val="00BD7FDD"/>
    <w:rsid w:val="00BE741E"/>
    <w:rsid w:val="00BF1F14"/>
    <w:rsid w:val="00BF2EDD"/>
    <w:rsid w:val="00C03552"/>
    <w:rsid w:val="00C10719"/>
    <w:rsid w:val="00C16900"/>
    <w:rsid w:val="00C45954"/>
    <w:rsid w:val="00C84559"/>
    <w:rsid w:val="00C878F3"/>
    <w:rsid w:val="00C97E87"/>
    <w:rsid w:val="00CA3D88"/>
    <w:rsid w:val="00CA4394"/>
    <w:rsid w:val="00CA4A20"/>
    <w:rsid w:val="00CB0C87"/>
    <w:rsid w:val="00CB39A7"/>
    <w:rsid w:val="00CB764D"/>
    <w:rsid w:val="00CC3933"/>
    <w:rsid w:val="00CD6F16"/>
    <w:rsid w:val="00CE010A"/>
    <w:rsid w:val="00CE294B"/>
    <w:rsid w:val="00CE5CC3"/>
    <w:rsid w:val="00CF3A75"/>
    <w:rsid w:val="00D008FA"/>
    <w:rsid w:val="00D269E5"/>
    <w:rsid w:val="00D649BB"/>
    <w:rsid w:val="00D7733C"/>
    <w:rsid w:val="00D85134"/>
    <w:rsid w:val="00DA7AFE"/>
    <w:rsid w:val="00DB4A88"/>
    <w:rsid w:val="00DD319D"/>
    <w:rsid w:val="00DE2189"/>
    <w:rsid w:val="00DE2EFF"/>
    <w:rsid w:val="00E03F40"/>
    <w:rsid w:val="00E7493D"/>
    <w:rsid w:val="00E87E4B"/>
    <w:rsid w:val="00E927E4"/>
    <w:rsid w:val="00E97DAE"/>
    <w:rsid w:val="00EA63B0"/>
    <w:rsid w:val="00EB34D2"/>
    <w:rsid w:val="00EB360C"/>
    <w:rsid w:val="00EB5290"/>
    <w:rsid w:val="00ED476D"/>
    <w:rsid w:val="00EF05CF"/>
    <w:rsid w:val="00F0008D"/>
    <w:rsid w:val="00F02B64"/>
    <w:rsid w:val="00F12286"/>
    <w:rsid w:val="00F13465"/>
    <w:rsid w:val="00F138F6"/>
    <w:rsid w:val="00F31549"/>
    <w:rsid w:val="00F47563"/>
    <w:rsid w:val="00F510E0"/>
    <w:rsid w:val="00F53148"/>
    <w:rsid w:val="00F54EC8"/>
    <w:rsid w:val="00F55A66"/>
    <w:rsid w:val="00F56DF7"/>
    <w:rsid w:val="00F6634B"/>
    <w:rsid w:val="00F815A6"/>
    <w:rsid w:val="00F9754E"/>
    <w:rsid w:val="00FA2CFF"/>
    <w:rsid w:val="00FC0912"/>
    <w:rsid w:val="00FC14A7"/>
    <w:rsid w:val="00FC2CC9"/>
    <w:rsid w:val="00FC428C"/>
    <w:rsid w:val="00FC7CA7"/>
    <w:rsid w:val="00FE153A"/>
    <w:rsid w:val="00FE75FA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26313"/>
  <w15:chartTrackingRefBased/>
  <w15:docId w15:val="{FD8EDEDB-B9BD-40E3-B3AC-00D9923B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074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1E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EF0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F05CF"/>
  </w:style>
  <w:style w:type="table" w:styleId="TableGrid">
    <w:name w:val="Table Grid"/>
    <w:basedOn w:val="TableNormal"/>
    <w:uiPriority w:val="39"/>
    <w:rsid w:val="00EF0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point,List Paragraph1"/>
    <w:basedOn w:val="Normal"/>
    <w:link w:val="ListParagraphChar"/>
    <w:uiPriority w:val="34"/>
    <w:qFormat/>
    <w:rsid w:val="00EF05C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B2F6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87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6CE"/>
  </w:style>
  <w:style w:type="character" w:customStyle="1" w:styleId="ListParagraphChar">
    <w:name w:val="List Paragraph Char"/>
    <w:aliases w:val="Bullet point Char,List Paragraph1 Char"/>
    <w:link w:val="ListParagraph"/>
    <w:uiPriority w:val="34"/>
    <w:locked/>
    <w:rsid w:val="006416F9"/>
  </w:style>
  <w:style w:type="character" w:styleId="FollowedHyperlink">
    <w:name w:val="FollowedHyperlink"/>
    <w:basedOn w:val="DefaultParagraphFont"/>
    <w:uiPriority w:val="99"/>
    <w:semiHidden/>
    <w:unhideWhenUsed/>
    <w:rsid w:val="005B6AF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3D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DD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651EF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7F332-2BEC-41A8-8A89-210D40ABC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7</Pages>
  <Words>2280</Words>
  <Characters>12997</Characters>
  <Application>Microsoft Office Word</Application>
  <DocSecurity>0</DocSecurity>
  <Lines>108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Zagorac</dc:creator>
  <cp:keywords/>
  <dc:description/>
  <cp:lastModifiedBy>Vladimirka Telenta</cp:lastModifiedBy>
  <cp:revision>46</cp:revision>
  <cp:lastPrinted>2025-02-12T11:03:00Z</cp:lastPrinted>
  <dcterms:created xsi:type="dcterms:W3CDTF">2023-12-06T07:31:00Z</dcterms:created>
  <dcterms:modified xsi:type="dcterms:W3CDTF">2026-03-18T08:17:00Z</dcterms:modified>
</cp:coreProperties>
</file>